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0" w:beforeAutospacing="0" w:after="0" w:afterAutospacing="0" w:line="360" w:lineRule="auto"/>
        <w:jc w:val="center"/>
        <w:rPr>
          <w:rStyle w:val="10"/>
          <w:rFonts w:ascii="黑体" w:hAnsi="黑体" w:eastAsia="黑体" w:cs="黑体"/>
          <w:color w:val="auto"/>
          <w:sz w:val="32"/>
          <w:szCs w:val="32"/>
        </w:rPr>
      </w:pPr>
      <w:bookmarkStart w:id="0" w:name="_Toc28359042"/>
      <w:bookmarkStart w:id="1" w:name="_Toc35393832"/>
    </w:p>
    <w:p>
      <w:pPr>
        <w:pStyle w:val="7"/>
        <w:snapToGrid w:val="0"/>
        <w:spacing w:before="0" w:beforeAutospacing="0" w:after="0" w:afterAutospacing="0" w:line="360" w:lineRule="auto"/>
        <w:jc w:val="center"/>
        <w:rPr>
          <w:rStyle w:val="10"/>
          <w:rFonts w:ascii="黑体" w:hAnsi="黑体" w:eastAsia="黑体" w:cs="黑体"/>
          <w:color w:val="auto"/>
          <w:sz w:val="32"/>
          <w:szCs w:val="32"/>
        </w:rPr>
      </w:pPr>
      <w:r>
        <w:rPr>
          <w:rStyle w:val="10"/>
          <w:rFonts w:hint="eastAsia" w:ascii="黑体" w:hAnsi="黑体" w:eastAsia="黑体" w:cs="黑体"/>
          <w:color w:val="auto"/>
          <w:sz w:val="32"/>
          <w:szCs w:val="32"/>
        </w:rPr>
        <w:t>江苏宜公投蓝藻资源开发有限公司宜兴市太湖蓝藻打捞处置设施运行服务项目单一来源采购公示</w:t>
      </w:r>
      <w:bookmarkEnd w:id="0"/>
      <w:bookmarkEnd w:id="1"/>
    </w:p>
    <w:p>
      <w:pPr>
        <w:pStyle w:val="16"/>
        <w:snapToGrid w:val="0"/>
        <w:spacing w:before="0" w:beforeAutospacing="0" w:after="0" w:afterAutospacing="0" w:line="360" w:lineRule="auto"/>
        <w:rPr>
          <w:rFonts w:ascii="黑体" w:hAnsi="黑体" w:eastAsia="黑体"/>
          <w:b/>
          <w:color w:val="auto"/>
          <w:sz w:val="32"/>
          <w:szCs w:val="32"/>
        </w:rPr>
      </w:pPr>
      <w:r>
        <w:rPr>
          <w:rFonts w:hint="eastAsia" w:ascii="黑体" w:hAnsi="黑体" w:eastAsia="黑体"/>
          <w:b/>
          <w:color w:val="auto"/>
          <w:sz w:val="32"/>
          <w:szCs w:val="32"/>
        </w:rPr>
        <w:t>一、采购人、采购项目名称和内容</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w:t>
      </w:r>
      <w:r>
        <w:rPr>
          <w:rFonts w:hint="eastAsia" w:ascii="仿宋_GB2312" w:hAnsi="仿宋_GB2312" w:eastAsia="仿宋_GB2312" w:cs="仿宋_GB2312"/>
          <w:color w:val="auto"/>
          <w:sz w:val="28"/>
          <w:szCs w:val="28"/>
          <w:u w:val="single"/>
        </w:rPr>
        <w:t>　江苏宜公投蓝藻资源开发有限公司　　　</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u w:val="single"/>
        </w:rPr>
        <w:t>宜兴市太湖蓝藻打捞处置</w:t>
      </w:r>
      <w:bookmarkStart w:id="2" w:name="_GoBack"/>
      <w:bookmarkEnd w:id="2"/>
      <w:r>
        <w:rPr>
          <w:rFonts w:hint="eastAsia" w:ascii="仿宋_GB2312" w:hAnsi="仿宋_GB2312" w:eastAsia="仿宋_GB2312" w:cs="仿宋_GB2312"/>
          <w:color w:val="auto"/>
          <w:sz w:val="28"/>
          <w:szCs w:val="28"/>
          <w:u w:val="single"/>
        </w:rPr>
        <w:t>设施运行服务　</w:t>
      </w:r>
    </w:p>
    <w:p>
      <w:pPr>
        <w:pStyle w:val="16"/>
        <w:snapToGrid w:val="0"/>
        <w:spacing w:before="0" w:beforeAutospacing="0" w:after="0" w:afterAutospacing="0" w:line="360" w:lineRule="auto"/>
        <w:rPr>
          <w:rFonts w:ascii="黑体" w:hAnsi="黑体" w:eastAsia="黑体"/>
          <w:b/>
          <w:color w:val="auto"/>
          <w:sz w:val="32"/>
          <w:szCs w:val="32"/>
        </w:rPr>
      </w:pPr>
      <w:r>
        <w:rPr>
          <w:rFonts w:hint="eastAsia" w:ascii="黑体" w:hAnsi="黑体" w:eastAsia="黑体"/>
          <w:b/>
          <w:color w:val="auto"/>
          <w:sz w:val="32"/>
          <w:szCs w:val="32"/>
        </w:rPr>
        <w:t>二、拟采购的货物或者服务的说明</w:t>
      </w:r>
    </w:p>
    <w:p>
      <w:pPr>
        <w:ind w:firstLine="560" w:firstLineChars="200"/>
        <w:rPr>
          <w:rFonts w:eastAsia="仿宋_GB2312"/>
          <w:color w:val="auto"/>
          <w:sz w:val="28"/>
          <w:szCs w:val="28"/>
          <w:u w:val="single"/>
        </w:rPr>
      </w:pPr>
      <w:r>
        <w:rPr>
          <w:rFonts w:eastAsia="仿宋_GB2312"/>
          <w:color w:val="auto"/>
          <w:sz w:val="28"/>
          <w:szCs w:val="28"/>
        </w:rPr>
        <w:t>本次采购内容主要包括：</w:t>
      </w:r>
      <w:r>
        <w:rPr>
          <w:rFonts w:eastAsia="仿宋_GB2312"/>
          <w:color w:val="auto"/>
          <w:sz w:val="28"/>
          <w:szCs w:val="28"/>
          <w:u w:val="single"/>
        </w:rPr>
        <w:t>宜兴市八房港藻水分离站、八房港原位控藻工程、符渎港近岸水域蓝藻原位应急防控工程、小径港藻水分离站、周铁藻泥干化厂</w:t>
      </w:r>
      <w:r>
        <w:rPr>
          <w:rFonts w:hint="eastAsia" w:eastAsia="仿宋_GB2312"/>
          <w:color w:val="auto"/>
          <w:sz w:val="28"/>
          <w:szCs w:val="28"/>
          <w:u w:val="single"/>
          <w:lang w:eastAsia="zh-CN"/>
        </w:rPr>
        <w:t>、</w:t>
      </w:r>
      <w:r>
        <w:rPr>
          <w:rFonts w:hint="eastAsia" w:eastAsia="仿宋_GB2312"/>
          <w:color w:val="auto"/>
          <w:sz w:val="28"/>
          <w:szCs w:val="28"/>
          <w:u w:val="single"/>
          <w:lang w:val="en-US" w:eastAsia="zh-CN"/>
        </w:rPr>
        <w:t>移动式藻水分离船</w:t>
      </w:r>
      <w:r>
        <w:rPr>
          <w:rFonts w:eastAsia="仿宋_GB2312"/>
          <w:color w:val="auto"/>
          <w:sz w:val="28"/>
          <w:szCs w:val="28"/>
          <w:u w:val="single"/>
        </w:rPr>
        <w:t>及相关配套设施的日常运维工作。保证设施设备的正常运行且保证目标产能要求、设施设备的日常维修保养、安全生产等工作。</w:t>
      </w:r>
    </w:p>
    <w:p>
      <w:pPr>
        <w:ind w:firstLine="560" w:firstLineChars="200"/>
        <w:rPr>
          <w:rFonts w:eastAsia="仿宋_GB2312"/>
          <w:color w:val="auto"/>
          <w:sz w:val="28"/>
          <w:szCs w:val="28"/>
          <w:u w:val="single"/>
        </w:rPr>
      </w:pPr>
      <w:r>
        <w:rPr>
          <w:rFonts w:eastAsia="仿宋_GB2312"/>
          <w:color w:val="auto"/>
          <w:sz w:val="28"/>
          <w:szCs w:val="28"/>
        </w:rPr>
        <w:t>拟采购的货物或服务的预算金额：</w:t>
      </w:r>
      <w:r>
        <w:rPr>
          <w:rFonts w:eastAsia="仿宋_GB2312"/>
          <w:color w:val="auto"/>
          <w:sz w:val="28"/>
          <w:szCs w:val="28"/>
          <w:u w:val="single"/>
        </w:rPr>
        <w:t>年处理费用约</w:t>
      </w:r>
      <w:r>
        <w:rPr>
          <w:rFonts w:hint="eastAsia" w:eastAsia="仿宋_GB2312"/>
          <w:color w:val="auto"/>
          <w:sz w:val="28"/>
          <w:szCs w:val="28"/>
          <w:u w:val="single"/>
          <w:lang w:val="en-US" w:eastAsia="zh-CN"/>
        </w:rPr>
        <w:t>1250</w:t>
      </w:r>
      <w:r>
        <w:rPr>
          <w:rFonts w:eastAsia="仿宋_GB2312"/>
          <w:color w:val="auto"/>
          <w:sz w:val="28"/>
          <w:szCs w:val="28"/>
          <w:u w:val="single"/>
        </w:rPr>
        <w:t>万元</w:t>
      </w:r>
      <w:r>
        <w:rPr>
          <w:rFonts w:hint="eastAsia" w:eastAsia="仿宋_GB2312"/>
          <w:color w:val="auto"/>
          <w:sz w:val="28"/>
          <w:szCs w:val="28"/>
          <w:u w:val="single"/>
          <w:lang w:val="en-US" w:eastAsia="zh-CN"/>
        </w:rPr>
        <w:t>/年</w:t>
      </w:r>
      <w:r>
        <w:rPr>
          <w:rFonts w:eastAsia="仿宋_GB2312"/>
          <w:color w:val="auto"/>
          <w:sz w:val="28"/>
          <w:szCs w:val="28"/>
          <w:u w:val="single"/>
        </w:rPr>
        <w:t>。</w:t>
      </w:r>
    </w:p>
    <w:p>
      <w:pPr>
        <w:pStyle w:val="16"/>
        <w:snapToGrid w:val="0"/>
        <w:spacing w:before="0" w:beforeAutospacing="0" w:after="0" w:afterAutospacing="0" w:line="360" w:lineRule="auto"/>
        <w:rPr>
          <w:rFonts w:ascii="仿宋" w:hAnsi="仿宋" w:eastAsia="仿宋"/>
          <w:color w:val="auto"/>
          <w:sz w:val="28"/>
          <w:szCs w:val="28"/>
          <w:u w:val="single"/>
        </w:rPr>
      </w:pPr>
      <w:r>
        <w:rPr>
          <w:rFonts w:hint="eastAsia" w:ascii="黑体" w:hAnsi="黑体" w:eastAsia="黑体"/>
          <w:b/>
          <w:color w:val="auto"/>
          <w:sz w:val="32"/>
          <w:szCs w:val="32"/>
        </w:rPr>
        <w:t>三、采用单一来源方式的原因及相关说明</w:t>
      </w:r>
    </w:p>
    <w:p>
      <w:pPr>
        <w:ind w:firstLine="560" w:firstLineChars="200"/>
        <w:rPr>
          <w:rFonts w:eastAsia="仿宋_GB2312"/>
          <w:color w:val="auto"/>
          <w:sz w:val="28"/>
          <w:szCs w:val="28"/>
          <w:u w:val="single"/>
        </w:rPr>
      </w:pPr>
      <w:r>
        <w:rPr>
          <w:rFonts w:eastAsia="仿宋_GB2312"/>
          <w:color w:val="auto"/>
          <w:sz w:val="28"/>
          <w:szCs w:val="28"/>
        </w:rPr>
        <w:t>鉴于本项目处理工艺及蓝藻运行处理时间的特殊性等因素，只能从唯一供应商处采购社会资本，采用单一来源采购方式的原因及说明</w:t>
      </w:r>
      <w:r>
        <w:rPr>
          <w:rFonts w:eastAsia="仿宋_GB2312"/>
          <w:color w:val="auto"/>
          <w:sz w:val="28"/>
          <w:szCs w:val="28"/>
          <w:u w:val="single"/>
        </w:rPr>
        <w:t>鉴于本项目处理工艺、运行时段和后续配套处理等因素，只能从唯一供应商处采购社会资本，根据《中华人民共和国政府采购法》 第三十一条“符合下列情形之一的货物或者服务，可以依照本法采用单一来源方式采购：（一）只能从唯一供应商处采购的；（二）发生了不可预见的紧急情况不能从其他供应商处采购的；（三）必须保证原有采购项目一致性或者服务配套的要求，需要继续从原供应商处添购，且添购资金总额不超过原合同采购金额百分之十的。”的规定，具体理由分析如下：</w:t>
      </w:r>
    </w:p>
    <w:p>
      <w:pPr>
        <w:pStyle w:val="16"/>
        <w:numPr>
          <w:ilvl w:val="0"/>
          <w:numId w:val="1"/>
        </w:numPr>
        <w:spacing w:before="0" w:beforeAutospacing="0" w:after="0" w:afterAutospacing="0" w:line="600" w:lineRule="atLeast"/>
        <w:ind w:firstLine="560" w:firstLineChars="200"/>
        <w:rPr>
          <w:rFonts w:ascii="Times New Roman" w:hAnsi="Times New Roman" w:eastAsia="仿宋_GB2312" w:cs="Times New Roman"/>
          <w:color w:val="auto"/>
          <w:kern w:val="2"/>
          <w:sz w:val="28"/>
          <w:szCs w:val="28"/>
          <w:u w:val="single"/>
        </w:rPr>
      </w:pPr>
      <w:r>
        <w:rPr>
          <w:rFonts w:ascii="Times New Roman" w:hAnsi="Times New Roman" w:eastAsia="仿宋_GB2312" w:cs="Times New Roman"/>
          <w:color w:val="auto"/>
          <w:sz w:val="28"/>
          <w:szCs w:val="28"/>
          <w:u w:val="single"/>
        </w:rPr>
        <w:t>宜兴市八房港藻水分离站处理能力为5000m</w:t>
      </w:r>
      <w:r>
        <w:rPr>
          <w:rFonts w:ascii="Times New Roman" w:hAnsi="Times New Roman" w:eastAsia="仿宋_GB2312" w:cs="Times New Roman"/>
          <w:color w:val="auto"/>
          <w:sz w:val="28"/>
          <w:szCs w:val="28"/>
          <w:u w:val="single"/>
          <w:vertAlign w:val="superscript"/>
        </w:rPr>
        <w:t>3</w:t>
      </w:r>
      <w:r>
        <w:rPr>
          <w:rFonts w:ascii="Times New Roman" w:hAnsi="Times New Roman" w:eastAsia="仿宋_GB2312" w:cs="Times New Roman"/>
          <w:color w:val="auto"/>
          <w:sz w:val="28"/>
          <w:szCs w:val="28"/>
          <w:u w:val="single"/>
        </w:rPr>
        <w:t>/d，采用工艺为“加压破壁+沉淀式藻水分离+一体化浓藻浆二级强化气浮藻水分离”技术；八房港及符渎港原位蓝藻深井控藻平台目前处理能力分别为86400m</w:t>
      </w:r>
      <w:r>
        <w:rPr>
          <w:rFonts w:ascii="Times New Roman" w:hAnsi="Times New Roman" w:eastAsia="仿宋_GB2312" w:cs="Times New Roman"/>
          <w:color w:val="auto"/>
          <w:sz w:val="28"/>
          <w:szCs w:val="28"/>
          <w:u w:val="single"/>
          <w:vertAlign w:val="superscript"/>
        </w:rPr>
        <w:t>3</w:t>
      </w:r>
      <w:r>
        <w:rPr>
          <w:rFonts w:ascii="Times New Roman" w:hAnsi="Times New Roman" w:eastAsia="仿宋_GB2312" w:cs="Times New Roman"/>
          <w:color w:val="auto"/>
          <w:sz w:val="28"/>
          <w:szCs w:val="28"/>
          <w:u w:val="single"/>
        </w:rPr>
        <w:t>/d、172800 m</w:t>
      </w:r>
      <w:r>
        <w:rPr>
          <w:rFonts w:ascii="Times New Roman" w:hAnsi="Times New Roman" w:eastAsia="仿宋_GB2312" w:cs="Times New Roman"/>
          <w:color w:val="auto"/>
          <w:sz w:val="28"/>
          <w:szCs w:val="28"/>
          <w:u w:val="single"/>
          <w:vertAlign w:val="superscript"/>
        </w:rPr>
        <w:t>3</w:t>
      </w:r>
      <w:r>
        <w:rPr>
          <w:rFonts w:ascii="Times New Roman" w:hAnsi="Times New Roman" w:eastAsia="仿宋_GB2312" w:cs="Times New Roman"/>
          <w:color w:val="auto"/>
          <w:sz w:val="28"/>
          <w:szCs w:val="28"/>
          <w:u w:val="single"/>
        </w:rPr>
        <w:t>/d, 采用的技术为U型蓝藻深井处理设备；周铁藻泥干化处理厂处理160t/d，采用旋转式蒸汽干化工艺；小径港藻水分离站处理能力为3000m</w:t>
      </w:r>
      <w:r>
        <w:rPr>
          <w:rFonts w:ascii="Times New Roman" w:hAnsi="Times New Roman" w:eastAsia="仿宋_GB2312" w:cs="Times New Roman"/>
          <w:color w:val="auto"/>
          <w:sz w:val="28"/>
          <w:szCs w:val="28"/>
          <w:u w:val="single"/>
          <w:vertAlign w:val="superscript"/>
        </w:rPr>
        <w:t>3</w:t>
      </w:r>
      <w:r>
        <w:rPr>
          <w:rFonts w:ascii="Times New Roman" w:hAnsi="Times New Roman" w:eastAsia="仿宋_GB2312" w:cs="Times New Roman"/>
          <w:color w:val="auto"/>
          <w:sz w:val="28"/>
          <w:szCs w:val="28"/>
          <w:u w:val="single"/>
        </w:rPr>
        <w:t>/d，采用的工艺为“泵式加压+双旋流沉淀分离池 +双旋流气浮分离池”分离技术。以上运行服务项目涉及无锡德林海环保科技股份有限公司</w:t>
      </w:r>
      <w:r>
        <w:rPr>
          <w:rFonts w:ascii="Times New Roman" w:hAnsi="Times New Roman" w:eastAsia="仿宋_GB2312" w:cs="Times New Roman"/>
          <w:color w:val="auto"/>
          <w:kern w:val="2"/>
          <w:sz w:val="28"/>
          <w:szCs w:val="28"/>
          <w:u w:val="single"/>
        </w:rPr>
        <w:t>多项专利技术及设备，如</w:t>
      </w:r>
      <w:r>
        <w:rPr>
          <w:rFonts w:ascii="Times New Roman" w:hAnsi="Times New Roman" w:eastAsia="仿宋_GB2312" w:cs="Times New Roman"/>
          <w:color w:val="auto"/>
          <w:sz w:val="28"/>
          <w:szCs w:val="28"/>
          <w:u w:val="single"/>
        </w:rPr>
        <w:t>加压破壁(专利号：ZL201510674428.9)、沉淀式藻水分离(专利号：ZL201220336673.0)、一体化浓藻浆二级强化气浮藻水分离技术(专利号：ZL200910094311.8)、U型蓝藻深井处理设备（专利号：ZL201720870275.X）大通量旋流式藻水分离技术（专利号：ZL201820647625.0）</w:t>
      </w:r>
      <w:r>
        <w:rPr>
          <w:rFonts w:hint="eastAsia" w:ascii="Times New Roman" w:hAnsi="Times New Roman" w:eastAsia="仿宋_GB2312" w:cs="Times New Roman"/>
          <w:color w:val="auto"/>
          <w:sz w:val="28"/>
          <w:szCs w:val="28"/>
          <w:u w:val="single"/>
          <w:lang w:val="en-US" w:eastAsia="zh-CN"/>
        </w:rPr>
        <w:t>以及一种船载式藻水分离装置（专利号：ZL2018 2 1581500.9）。</w:t>
      </w:r>
      <w:r>
        <w:rPr>
          <w:rFonts w:ascii="Times New Roman" w:hAnsi="Times New Roman" w:eastAsia="仿宋_GB2312" w:cs="Times New Roman"/>
          <w:color w:val="auto"/>
          <w:kern w:val="2"/>
          <w:sz w:val="28"/>
          <w:szCs w:val="28"/>
          <w:u w:val="single"/>
        </w:rPr>
        <w:t>须选用熟悉工艺和设备并具有成熟运行经验的单位进行运行工作。</w:t>
      </w:r>
    </w:p>
    <w:p>
      <w:pPr>
        <w:pStyle w:val="16"/>
        <w:numPr>
          <w:ilvl w:val="0"/>
          <w:numId w:val="1"/>
        </w:numPr>
        <w:spacing w:before="0" w:beforeAutospacing="0" w:after="0" w:afterAutospacing="0" w:line="600" w:lineRule="atLeast"/>
        <w:ind w:firstLine="560" w:firstLineChars="200"/>
        <w:rPr>
          <w:rFonts w:ascii="Times New Roman" w:hAnsi="Times New Roman" w:eastAsia="仿宋_GB2312" w:cs="Times New Roman"/>
          <w:color w:val="auto"/>
          <w:kern w:val="2"/>
          <w:sz w:val="28"/>
          <w:szCs w:val="28"/>
          <w:u w:val="single"/>
        </w:rPr>
      </w:pPr>
      <w:r>
        <w:rPr>
          <w:rFonts w:ascii="Times New Roman" w:hAnsi="Times New Roman" w:eastAsia="仿宋_GB2312" w:cs="Times New Roman"/>
          <w:color w:val="auto"/>
          <w:kern w:val="2"/>
          <w:sz w:val="28"/>
          <w:szCs w:val="28"/>
          <w:u w:val="single"/>
        </w:rPr>
        <w:t>无锡德林海环保科技股份有限公司（以下简称德林海公司）已在全国建造了20余座藻水分离站、10余座原位蓝藻深井控藻平台、多个污水处理厂，并承担了其中全部原位蓝藻深井控藻平台、10余座藻水分离站以及多个污水处理厂的运行工作。德林海公司经过十来年的藻水分离站的建设及运行经验，拥有丰富的蓝藻治理装备运行及后续藻泥处置相关经验，藻泥处置方面形成两种工艺路线：1.藻泥电渗析-通风干燥工艺，申请了一种蓝藻藻泥专用干化装置专利（ZL2014204728526），并获得授权；2.藻泥造粒-低温热空气干燥工艺，申请了一种藻泥干化设备专利（ZL2020213135281），并获得授权。此外，德林海公司在云南红河州、四川凉山州承建的污水处理厂中污泥干化系统采用空心桨叶蒸汽热干化工艺与八房港藻泥干化处理站具有相似性。</w:t>
      </w:r>
    </w:p>
    <w:p>
      <w:pPr>
        <w:pStyle w:val="16"/>
        <w:numPr>
          <w:ilvl w:val="0"/>
          <w:numId w:val="1"/>
        </w:numPr>
        <w:spacing w:before="0" w:beforeAutospacing="0" w:after="0" w:afterAutospacing="0" w:line="600" w:lineRule="atLeast"/>
        <w:ind w:firstLine="560" w:firstLineChars="200"/>
        <w:rPr>
          <w:rFonts w:ascii="Times New Roman" w:hAnsi="Times New Roman" w:eastAsia="仿宋_GB2312" w:cs="Times New Roman"/>
          <w:color w:val="auto"/>
          <w:kern w:val="2"/>
          <w:sz w:val="28"/>
          <w:szCs w:val="28"/>
          <w:u w:val="single"/>
        </w:rPr>
      </w:pPr>
      <w:r>
        <w:rPr>
          <w:rFonts w:ascii="Times New Roman" w:hAnsi="Times New Roman" w:eastAsia="仿宋_GB2312" w:cs="Times New Roman"/>
          <w:color w:val="auto"/>
          <w:kern w:val="2"/>
          <w:sz w:val="28"/>
          <w:szCs w:val="28"/>
          <w:u w:val="single"/>
        </w:rPr>
        <w:t>太湖蓝藻处理具有季节性特点，运行时间只有7-8个月，其它时间停运，工作弹性较大，无锡德林海环保科技股份有限公司各专业人员调配富余，能确项目的稳定性。</w:t>
      </w:r>
    </w:p>
    <w:p>
      <w:pPr>
        <w:pStyle w:val="16"/>
        <w:numPr>
          <w:ilvl w:val="0"/>
          <w:numId w:val="1"/>
        </w:numPr>
        <w:spacing w:before="0" w:beforeAutospacing="0" w:after="0" w:afterAutospacing="0" w:line="600" w:lineRule="atLeast"/>
        <w:ind w:firstLine="560" w:firstLineChars="200"/>
        <w:rPr>
          <w:rFonts w:ascii="Times New Roman" w:hAnsi="Times New Roman" w:eastAsia="仿宋_GB2312" w:cs="Times New Roman"/>
          <w:color w:val="auto"/>
          <w:sz w:val="28"/>
          <w:szCs w:val="28"/>
          <w:u w:val="single"/>
        </w:rPr>
      </w:pPr>
      <w:r>
        <w:rPr>
          <w:rFonts w:ascii="Times New Roman" w:hAnsi="Times New Roman" w:eastAsia="仿宋_GB2312" w:cs="Times New Roman"/>
          <w:color w:val="auto"/>
          <w:kern w:val="2"/>
          <w:sz w:val="28"/>
          <w:szCs w:val="28"/>
          <w:u w:val="single"/>
        </w:rPr>
        <w:t>德林海公司是目前全国唯一具有藻水分离站、蓝藻深井控藻平台、藻泥处置等相关蓝藻治理专利技术的供应商，也是</w:t>
      </w:r>
      <w:r>
        <w:rPr>
          <w:rFonts w:ascii="Times New Roman" w:hAnsi="Times New Roman" w:eastAsia="仿宋_GB2312" w:cs="Times New Roman"/>
          <w:color w:val="auto"/>
          <w:sz w:val="28"/>
          <w:szCs w:val="28"/>
          <w:u w:val="single"/>
        </w:rPr>
        <w:t>唯一同时拥有丰富的</w:t>
      </w:r>
      <w:r>
        <w:rPr>
          <w:rFonts w:ascii="Times New Roman" w:hAnsi="Times New Roman" w:eastAsia="仿宋_GB2312" w:cs="Times New Roman"/>
          <w:color w:val="auto"/>
          <w:kern w:val="2"/>
          <w:sz w:val="28"/>
          <w:szCs w:val="28"/>
          <w:u w:val="single"/>
        </w:rPr>
        <w:t>藻水分离站、</w:t>
      </w:r>
      <w:r>
        <w:rPr>
          <w:rFonts w:ascii="Times New Roman" w:hAnsi="Times New Roman" w:eastAsia="仿宋_GB2312" w:cs="Times New Roman"/>
          <w:color w:val="auto"/>
          <w:sz w:val="28"/>
          <w:szCs w:val="28"/>
          <w:u w:val="single"/>
        </w:rPr>
        <w:t>蓝藻深井控藻平台、藻泥末端处置等蓝藻全流程（打捞—分离—处置）运行经验的供应商，同时其</w:t>
      </w:r>
      <w:r>
        <w:rPr>
          <w:rFonts w:ascii="Times New Roman" w:hAnsi="Times New Roman" w:eastAsia="仿宋_GB2312" w:cs="Times New Roman"/>
          <w:color w:val="auto"/>
          <w:kern w:val="2"/>
          <w:sz w:val="28"/>
          <w:szCs w:val="28"/>
          <w:u w:val="single"/>
        </w:rPr>
        <w:t>具有</w:t>
      </w:r>
      <w:r>
        <w:rPr>
          <w:rFonts w:ascii="Times New Roman" w:hAnsi="Times New Roman" w:eastAsia="仿宋_GB2312" w:cs="Times New Roman"/>
          <w:color w:val="auto"/>
          <w:sz w:val="28"/>
          <w:szCs w:val="28"/>
          <w:u w:val="single"/>
        </w:rPr>
        <w:t>结构完整、技术雄厚、经验成熟的运行、维护团队作为后台支撑。因此，其是唯一合适的供应商。</w:t>
      </w:r>
    </w:p>
    <w:p>
      <w:pPr>
        <w:ind w:firstLine="560" w:firstLineChars="200"/>
        <w:rPr>
          <w:rFonts w:eastAsia="仿宋_GB2312"/>
          <w:color w:val="auto"/>
          <w:sz w:val="28"/>
          <w:szCs w:val="28"/>
        </w:rPr>
      </w:pPr>
      <w:r>
        <w:rPr>
          <w:rFonts w:eastAsia="仿宋_GB2312"/>
          <w:color w:val="auto"/>
          <w:sz w:val="28"/>
          <w:szCs w:val="28"/>
          <w:u w:val="single"/>
        </w:rPr>
        <w:t>综上所述，本项目拟采用单一来源采购方式，拟定唯一供应商为无锡德林海环保科技股份有限公司。</w:t>
      </w:r>
    </w:p>
    <w:p>
      <w:pPr>
        <w:pStyle w:val="16"/>
        <w:snapToGrid w:val="0"/>
        <w:spacing w:before="0" w:beforeAutospacing="0" w:after="0" w:afterAutospacing="0" w:line="360" w:lineRule="auto"/>
        <w:rPr>
          <w:rFonts w:ascii="黑体" w:hAnsi="黑体" w:eastAsia="黑体"/>
          <w:b/>
          <w:color w:val="auto"/>
          <w:sz w:val="32"/>
          <w:szCs w:val="32"/>
        </w:rPr>
      </w:pPr>
      <w:r>
        <w:rPr>
          <w:rFonts w:hint="eastAsia" w:ascii="黑体" w:hAnsi="黑体" w:eastAsia="黑体"/>
          <w:b/>
          <w:color w:val="auto"/>
          <w:sz w:val="32"/>
          <w:szCs w:val="32"/>
        </w:rPr>
        <w:t>四、拟定的唯一供应商名称、地址</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olor w:val="auto"/>
          <w:sz w:val="28"/>
          <w:szCs w:val="28"/>
          <w:u w:val="single"/>
        </w:rPr>
        <w:t>无锡德林海环保科技股份有限公司　</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u w:val="single"/>
        </w:rPr>
        <w:t xml:space="preserve">无锡市滨湖区梅梁路88号         </w:t>
      </w:r>
    </w:p>
    <w:p>
      <w:pPr>
        <w:pStyle w:val="16"/>
        <w:numPr>
          <w:ilvl w:val="0"/>
          <w:numId w:val="2"/>
        </w:numPr>
        <w:snapToGrid w:val="0"/>
        <w:spacing w:before="0" w:beforeAutospacing="0" w:after="0" w:afterAutospacing="0" w:line="360" w:lineRule="auto"/>
        <w:rPr>
          <w:rFonts w:ascii="黑体" w:hAnsi="黑体" w:eastAsia="黑体"/>
          <w:b/>
          <w:color w:val="auto"/>
          <w:sz w:val="32"/>
          <w:szCs w:val="32"/>
        </w:rPr>
      </w:pPr>
      <w:r>
        <w:rPr>
          <w:rFonts w:hint="eastAsia" w:ascii="黑体" w:hAnsi="黑体" w:eastAsia="黑体"/>
          <w:b/>
          <w:color w:val="auto"/>
          <w:sz w:val="32"/>
          <w:szCs w:val="32"/>
        </w:rPr>
        <w:t>专业人员论证意见，以及专业人员姓名、工作单位和职称</w:t>
      </w:r>
    </w:p>
    <w:p>
      <w:pPr>
        <w:pStyle w:val="16"/>
        <w:snapToGrid w:val="0"/>
        <w:spacing w:before="0" w:beforeAutospacing="0" w:after="0" w:afterAutospacing="0" w:line="360" w:lineRule="auto"/>
        <w:ind w:firstLine="560" w:firstLineChars="200"/>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论证意见：</w:t>
      </w:r>
      <w:r>
        <w:rPr>
          <w:rFonts w:hint="eastAsia" w:ascii="Times New Roman" w:hAnsi="Times New Roman" w:eastAsia="仿宋_GB2312" w:cs="Times New Roman"/>
          <w:bCs/>
          <w:color w:val="auto"/>
          <w:sz w:val="28"/>
          <w:szCs w:val="28"/>
        </w:rPr>
        <w:t>本次运行服务涉及藻水分离站、深井控藻平台及藻泥末端干化处置，一方面藻水分离站及深井控藻平台所采用的工艺涉及</w:t>
      </w:r>
      <w:r>
        <w:rPr>
          <w:rFonts w:ascii="Times New Roman" w:hAnsi="Times New Roman" w:eastAsia="仿宋_GB2312" w:cs="Times New Roman"/>
          <w:bCs/>
          <w:color w:val="auto"/>
          <w:sz w:val="28"/>
          <w:szCs w:val="28"/>
        </w:rPr>
        <w:t>无锡德林海环保科技股份有限公司</w:t>
      </w:r>
      <w:r>
        <w:rPr>
          <w:rFonts w:hint="eastAsia" w:ascii="Times New Roman" w:hAnsi="Times New Roman" w:eastAsia="仿宋_GB2312" w:cs="Times New Roman"/>
          <w:bCs/>
          <w:color w:val="auto"/>
          <w:sz w:val="28"/>
          <w:szCs w:val="28"/>
        </w:rPr>
        <w:t>多项专利技术，另一方面</w:t>
      </w:r>
      <w:r>
        <w:rPr>
          <w:rFonts w:ascii="Times New Roman" w:hAnsi="Times New Roman" w:eastAsia="仿宋_GB2312" w:cs="Times New Roman"/>
          <w:bCs/>
          <w:color w:val="auto"/>
          <w:sz w:val="28"/>
          <w:szCs w:val="28"/>
        </w:rPr>
        <w:t>无锡德林海环保科技股份有限公司</w:t>
      </w:r>
      <w:r>
        <w:rPr>
          <w:rFonts w:hint="eastAsia" w:ascii="Times New Roman" w:hAnsi="Times New Roman" w:eastAsia="仿宋_GB2312" w:cs="Times New Roman"/>
          <w:bCs/>
          <w:color w:val="auto"/>
          <w:sz w:val="28"/>
          <w:szCs w:val="28"/>
        </w:rPr>
        <w:t>是国内唯一同时具备藻水分离、深井灭藻及藻泥末端处置运行经验的单位。</w:t>
      </w:r>
      <w:r>
        <w:rPr>
          <w:rFonts w:ascii="Times New Roman" w:hAnsi="Times New Roman" w:eastAsia="仿宋_GB2312" w:cs="Times New Roman"/>
          <w:bCs/>
          <w:color w:val="auto"/>
          <w:sz w:val="28"/>
          <w:szCs w:val="28"/>
        </w:rPr>
        <w:t>综上建议，无锡德林海环保科技股份有限公司为</w:t>
      </w:r>
      <w:r>
        <w:rPr>
          <w:rFonts w:hint="eastAsia" w:ascii="Times New Roman" w:hAnsi="Times New Roman" w:eastAsia="仿宋_GB2312" w:cs="Times New Roman"/>
          <w:bCs/>
          <w:color w:val="auto"/>
          <w:sz w:val="28"/>
          <w:szCs w:val="28"/>
        </w:rPr>
        <w:t>宜兴市太湖蓝藻打捞处置设施运行服务项目</w:t>
      </w:r>
      <w:r>
        <w:rPr>
          <w:rFonts w:ascii="Times New Roman" w:hAnsi="Times New Roman" w:eastAsia="仿宋_GB2312" w:cs="Times New Roman"/>
          <w:bCs/>
          <w:color w:val="auto"/>
          <w:sz w:val="28"/>
          <w:szCs w:val="28"/>
        </w:rPr>
        <w:t>的单一来源供应商。</w:t>
      </w:r>
    </w:p>
    <w:p>
      <w:pPr>
        <w:pStyle w:val="16"/>
        <w:snapToGrid w:val="0"/>
        <w:spacing w:before="0" w:beforeAutospacing="0" w:after="0" w:afterAutospacing="0" w:line="360" w:lineRule="auto"/>
        <w:ind w:firstLine="560" w:firstLineChars="200"/>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专业人员姓名、工作单位和职称：</w:t>
      </w:r>
    </w:p>
    <w:p>
      <w:pPr>
        <w:pStyle w:val="16"/>
        <w:snapToGrid w:val="0"/>
        <w:spacing w:before="0" w:beforeAutospacing="0" w:after="0" w:afterAutospacing="0" w:line="360" w:lineRule="auto"/>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卢</w:t>
      </w:r>
      <w:r>
        <w:rPr>
          <w:rFonts w:hint="eastAsia" w:ascii="Times New Roman" w:hAnsi="Times New Roman" w:eastAsia="仿宋_GB2312" w:cs="Times New Roman"/>
          <w:color w:val="auto"/>
          <w:sz w:val="28"/>
          <w:szCs w:val="28"/>
          <w:highlight w:val="none"/>
        </w:rPr>
        <w:t>洪</w:t>
      </w:r>
      <w:r>
        <w:rPr>
          <w:rFonts w:ascii="Times New Roman" w:hAnsi="Times New Roman" w:eastAsia="仿宋_GB2312" w:cs="Times New Roman"/>
          <w:color w:val="auto"/>
          <w:sz w:val="28"/>
          <w:szCs w:val="28"/>
          <w:highlight w:val="none"/>
        </w:rPr>
        <w:t>欢</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无锡市河湖治理和水资源管理中心，高级工程师</w:t>
      </w:r>
    </w:p>
    <w:p>
      <w:pPr>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张杰</w:t>
      </w:r>
      <w:r>
        <w:rPr>
          <w:rFonts w:hint="eastAsia" w:eastAsia="仿宋_GB2312"/>
          <w:color w:val="auto"/>
          <w:sz w:val="28"/>
          <w:szCs w:val="28"/>
          <w:highlight w:val="none"/>
          <w:lang w:eastAsia="zh-CN"/>
        </w:rPr>
        <w:t>：</w:t>
      </w:r>
      <w:r>
        <w:rPr>
          <w:rFonts w:eastAsia="仿宋_GB2312"/>
          <w:color w:val="auto"/>
          <w:sz w:val="28"/>
          <w:szCs w:val="28"/>
          <w:highlight w:val="none"/>
        </w:rPr>
        <w:t>无锡市滨湖区水利重点工程建设管理处，高级工程师</w:t>
      </w:r>
    </w:p>
    <w:p>
      <w:pPr>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张伏林</w:t>
      </w:r>
      <w:r>
        <w:rPr>
          <w:rFonts w:hint="eastAsia" w:eastAsia="仿宋_GB2312"/>
          <w:color w:val="auto"/>
          <w:sz w:val="28"/>
          <w:szCs w:val="28"/>
          <w:highlight w:val="none"/>
          <w:lang w:eastAsia="zh-CN"/>
        </w:rPr>
        <w:t>：</w:t>
      </w:r>
      <w:r>
        <w:rPr>
          <w:rFonts w:eastAsia="仿宋_GB2312"/>
          <w:color w:val="auto"/>
          <w:sz w:val="28"/>
          <w:szCs w:val="28"/>
          <w:highlight w:val="none"/>
        </w:rPr>
        <w:t>无锡市水利设计</w:t>
      </w:r>
      <w:r>
        <w:rPr>
          <w:rFonts w:hint="eastAsia" w:eastAsia="仿宋_GB2312"/>
          <w:color w:val="auto"/>
          <w:sz w:val="28"/>
          <w:szCs w:val="28"/>
          <w:highlight w:val="none"/>
        </w:rPr>
        <w:t>研究</w:t>
      </w:r>
      <w:r>
        <w:rPr>
          <w:rFonts w:eastAsia="仿宋_GB2312"/>
          <w:color w:val="auto"/>
          <w:sz w:val="28"/>
          <w:szCs w:val="28"/>
          <w:highlight w:val="none"/>
        </w:rPr>
        <w:t>院有限公司，高级工程师</w:t>
      </w:r>
    </w:p>
    <w:p>
      <w:pPr>
        <w:spacing w:line="360" w:lineRule="auto"/>
        <w:ind w:firstLine="560" w:firstLineChars="200"/>
        <w:rPr>
          <w:rFonts w:ascii="黑体" w:hAnsi="黑体" w:eastAsia="黑体"/>
          <w:b/>
          <w:color w:val="auto"/>
          <w:sz w:val="28"/>
          <w:szCs w:val="28"/>
          <w:highlight w:val="none"/>
        </w:rPr>
      </w:pPr>
      <w:r>
        <w:rPr>
          <w:rFonts w:hint="eastAsia" w:eastAsia="仿宋_GB2312"/>
          <w:color w:val="auto"/>
          <w:sz w:val="28"/>
          <w:szCs w:val="28"/>
          <w:highlight w:val="none"/>
          <w:lang w:val="en-US" w:eastAsia="zh-CN"/>
        </w:rPr>
        <w:t>孙雨茜</w:t>
      </w:r>
      <w:r>
        <w:rPr>
          <w:rFonts w:hint="eastAsia" w:eastAsia="仿宋_GB2312"/>
          <w:color w:val="auto"/>
          <w:sz w:val="28"/>
          <w:szCs w:val="28"/>
          <w:highlight w:val="none"/>
          <w:lang w:eastAsia="zh-CN"/>
        </w:rPr>
        <w:t>：</w:t>
      </w:r>
      <w:r>
        <w:rPr>
          <w:rFonts w:eastAsia="仿宋_GB2312"/>
          <w:color w:val="auto"/>
          <w:sz w:val="28"/>
          <w:szCs w:val="28"/>
          <w:highlight w:val="none"/>
        </w:rPr>
        <w:t>江苏</w:t>
      </w:r>
      <w:r>
        <w:rPr>
          <w:rFonts w:hint="eastAsia" w:eastAsia="仿宋_GB2312"/>
          <w:color w:val="auto"/>
          <w:sz w:val="28"/>
          <w:szCs w:val="28"/>
          <w:highlight w:val="none"/>
          <w:lang w:val="en-US" w:eastAsia="zh-CN"/>
        </w:rPr>
        <w:t>磊安</w:t>
      </w:r>
      <w:r>
        <w:rPr>
          <w:rFonts w:eastAsia="仿宋_GB2312"/>
          <w:color w:val="auto"/>
          <w:sz w:val="28"/>
          <w:szCs w:val="28"/>
          <w:highlight w:val="none"/>
        </w:rPr>
        <w:t>律师事务所，</w:t>
      </w:r>
      <w:r>
        <w:rPr>
          <w:rFonts w:hint="eastAsia" w:eastAsia="仿宋_GB2312"/>
          <w:color w:val="auto"/>
          <w:sz w:val="28"/>
          <w:szCs w:val="28"/>
          <w:highlight w:val="none"/>
        </w:rPr>
        <w:t>专职</w:t>
      </w:r>
      <w:r>
        <w:rPr>
          <w:rFonts w:eastAsia="仿宋_GB2312"/>
          <w:color w:val="auto"/>
          <w:sz w:val="28"/>
          <w:szCs w:val="28"/>
          <w:highlight w:val="none"/>
        </w:rPr>
        <w:t>律师</w:t>
      </w:r>
    </w:p>
    <w:p>
      <w:pPr>
        <w:pStyle w:val="16"/>
        <w:snapToGrid w:val="0"/>
        <w:spacing w:before="0" w:beforeAutospacing="0" w:after="0" w:afterAutospacing="0" w:line="360" w:lineRule="auto"/>
        <w:rPr>
          <w:rFonts w:ascii="黑体" w:hAnsi="黑体" w:eastAsia="黑体"/>
          <w:b/>
          <w:color w:val="auto"/>
          <w:sz w:val="32"/>
          <w:szCs w:val="32"/>
        </w:rPr>
      </w:pPr>
      <w:r>
        <w:rPr>
          <w:rFonts w:hint="eastAsia" w:ascii="黑体" w:hAnsi="黑体" w:eastAsia="黑体"/>
          <w:b/>
          <w:color w:val="auto"/>
          <w:sz w:val="32"/>
          <w:szCs w:val="32"/>
        </w:rPr>
        <w:t>六、公示期限</w:t>
      </w:r>
    </w:p>
    <w:p>
      <w:pPr>
        <w:pStyle w:val="15"/>
        <w:ind w:left="-10" w:leftChars="-5" w:firstLine="560"/>
        <w:rPr>
          <w:rFonts w:eastAsia="仿宋_GB2312"/>
          <w:b/>
          <w:color w:val="auto"/>
          <w:sz w:val="28"/>
          <w:szCs w:val="28"/>
        </w:rPr>
      </w:pPr>
      <w:r>
        <w:rPr>
          <w:rFonts w:eastAsia="仿宋_GB2312"/>
          <w:color w:val="auto"/>
          <w:sz w:val="28"/>
          <w:szCs w:val="28"/>
          <w:u w:val="single"/>
        </w:rPr>
        <w:t>202</w:t>
      </w:r>
      <w:r>
        <w:rPr>
          <w:rFonts w:hint="eastAsia" w:eastAsia="仿宋_GB2312"/>
          <w:color w:val="auto"/>
          <w:sz w:val="28"/>
          <w:szCs w:val="28"/>
          <w:u w:val="single"/>
          <w:lang w:val="en-US" w:eastAsia="zh-CN"/>
        </w:rPr>
        <w:t>3</w:t>
      </w:r>
      <w:r>
        <w:rPr>
          <w:rFonts w:eastAsia="仿宋_GB2312"/>
          <w:color w:val="auto"/>
          <w:sz w:val="28"/>
          <w:szCs w:val="28"/>
          <w:u w:val="single"/>
        </w:rPr>
        <w:t>年</w:t>
      </w:r>
      <w:r>
        <w:rPr>
          <w:rFonts w:hint="eastAsia" w:eastAsia="仿宋_GB2312"/>
          <w:color w:val="auto"/>
          <w:sz w:val="28"/>
          <w:szCs w:val="28"/>
          <w:u w:val="single"/>
          <w:lang w:val="en-US" w:eastAsia="zh-CN"/>
        </w:rPr>
        <w:t>12</w:t>
      </w:r>
      <w:r>
        <w:rPr>
          <w:rFonts w:eastAsia="仿宋_GB2312"/>
          <w:color w:val="auto"/>
          <w:sz w:val="28"/>
          <w:szCs w:val="28"/>
          <w:u w:val="single"/>
        </w:rPr>
        <w:t>月</w:t>
      </w:r>
      <w:r>
        <w:rPr>
          <w:rFonts w:hint="eastAsia" w:eastAsia="仿宋_GB2312"/>
          <w:color w:val="auto"/>
          <w:sz w:val="28"/>
          <w:szCs w:val="28"/>
          <w:u w:val="single"/>
          <w:lang w:val="en-US" w:eastAsia="zh-CN"/>
        </w:rPr>
        <w:t>15</w:t>
      </w:r>
      <w:r>
        <w:rPr>
          <w:rFonts w:eastAsia="仿宋_GB2312"/>
          <w:color w:val="auto"/>
          <w:sz w:val="28"/>
          <w:szCs w:val="28"/>
          <w:u w:val="single"/>
        </w:rPr>
        <w:t>日</w:t>
      </w:r>
      <w:r>
        <w:rPr>
          <w:rFonts w:eastAsia="仿宋_GB2312"/>
          <w:color w:val="auto"/>
          <w:sz w:val="28"/>
          <w:szCs w:val="28"/>
        </w:rPr>
        <w:t>至</w:t>
      </w:r>
      <w:r>
        <w:rPr>
          <w:rFonts w:eastAsia="仿宋_GB2312"/>
          <w:color w:val="auto"/>
          <w:sz w:val="28"/>
          <w:szCs w:val="28"/>
          <w:u w:val="single"/>
        </w:rPr>
        <w:t>202</w:t>
      </w:r>
      <w:r>
        <w:rPr>
          <w:rFonts w:hint="eastAsia" w:eastAsia="仿宋_GB2312"/>
          <w:color w:val="auto"/>
          <w:sz w:val="28"/>
          <w:szCs w:val="28"/>
          <w:u w:val="single"/>
          <w:lang w:val="en-US" w:eastAsia="zh-CN"/>
        </w:rPr>
        <w:t>3</w:t>
      </w:r>
      <w:r>
        <w:rPr>
          <w:rFonts w:eastAsia="仿宋_GB2312"/>
          <w:color w:val="auto"/>
          <w:sz w:val="28"/>
          <w:szCs w:val="28"/>
          <w:u w:val="single"/>
        </w:rPr>
        <w:t>年</w:t>
      </w:r>
      <w:r>
        <w:rPr>
          <w:rFonts w:hint="eastAsia" w:eastAsia="仿宋_GB2312"/>
          <w:color w:val="auto"/>
          <w:sz w:val="28"/>
          <w:szCs w:val="28"/>
          <w:u w:val="single"/>
          <w:lang w:val="en-US" w:eastAsia="zh-CN"/>
        </w:rPr>
        <w:t>12</w:t>
      </w:r>
      <w:r>
        <w:rPr>
          <w:rFonts w:eastAsia="仿宋_GB2312"/>
          <w:color w:val="auto"/>
          <w:sz w:val="28"/>
          <w:szCs w:val="28"/>
          <w:u w:val="single"/>
        </w:rPr>
        <w:t>月</w:t>
      </w:r>
      <w:r>
        <w:rPr>
          <w:rFonts w:hint="eastAsia" w:eastAsia="仿宋_GB2312"/>
          <w:color w:val="auto"/>
          <w:sz w:val="28"/>
          <w:szCs w:val="28"/>
          <w:u w:val="single"/>
          <w:lang w:val="en-US" w:eastAsia="zh-CN"/>
        </w:rPr>
        <w:t>21</w:t>
      </w:r>
      <w:r>
        <w:rPr>
          <w:rFonts w:eastAsia="仿宋_GB2312"/>
          <w:color w:val="auto"/>
          <w:sz w:val="28"/>
          <w:szCs w:val="28"/>
          <w:u w:val="single"/>
        </w:rPr>
        <w:t>日</w:t>
      </w:r>
      <w:r>
        <w:rPr>
          <w:rFonts w:eastAsia="仿宋_GB2312"/>
          <w:iCs/>
          <w:color w:val="auto"/>
          <w:sz w:val="28"/>
          <w:szCs w:val="28"/>
          <w:u w:val="single"/>
        </w:rPr>
        <w:t>（</w:t>
      </w:r>
      <w:r>
        <w:rPr>
          <w:rFonts w:eastAsia="仿宋_GB2312"/>
          <w:i/>
          <w:color w:val="auto"/>
          <w:sz w:val="28"/>
          <w:szCs w:val="28"/>
          <w:u w:val="single"/>
        </w:rPr>
        <w:t>公示期限不得少于5个工作日</w:t>
      </w:r>
      <w:r>
        <w:rPr>
          <w:rFonts w:eastAsia="仿宋_GB2312"/>
          <w:iCs/>
          <w:color w:val="auto"/>
          <w:sz w:val="28"/>
          <w:szCs w:val="28"/>
          <w:u w:val="single"/>
        </w:rPr>
        <w:t>）</w:t>
      </w:r>
    </w:p>
    <w:p>
      <w:pPr>
        <w:pStyle w:val="16"/>
        <w:snapToGrid w:val="0"/>
        <w:spacing w:before="0" w:beforeAutospacing="0" w:after="0" w:afterAutospacing="0" w:line="360" w:lineRule="auto"/>
        <w:rPr>
          <w:rFonts w:ascii="黑体" w:hAnsi="黑体" w:eastAsia="黑体"/>
          <w:b/>
          <w:color w:val="auto"/>
          <w:sz w:val="32"/>
          <w:szCs w:val="32"/>
        </w:rPr>
      </w:pPr>
      <w:r>
        <w:rPr>
          <w:rFonts w:hint="eastAsia" w:ascii="黑体" w:hAnsi="黑体" w:eastAsia="黑体"/>
          <w:b/>
          <w:color w:val="auto"/>
          <w:sz w:val="32"/>
          <w:szCs w:val="32"/>
        </w:rPr>
        <w:t>七、采购人联系地址、联系人和联系电话</w:t>
      </w:r>
    </w:p>
    <w:p>
      <w:pPr>
        <w:ind w:firstLine="565" w:firstLineChars="202"/>
        <w:rPr>
          <w:rFonts w:eastAsia="仿宋_GB2312"/>
          <w:color w:val="auto"/>
          <w:sz w:val="28"/>
          <w:szCs w:val="28"/>
        </w:rPr>
      </w:pPr>
      <w:r>
        <w:rPr>
          <w:rFonts w:eastAsia="仿宋_GB2312"/>
          <w:color w:val="auto"/>
          <w:sz w:val="28"/>
          <w:szCs w:val="28"/>
        </w:rPr>
        <w:t>采购人：</w:t>
      </w:r>
      <w:r>
        <w:rPr>
          <w:rFonts w:eastAsia="仿宋_GB2312"/>
          <w:color w:val="auto"/>
          <w:sz w:val="28"/>
          <w:szCs w:val="28"/>
          <w:u w:val="single"/>
        </w:rPr>
        <w:t>江苏宜公投蓝藻资源开发有限公司</w:t>
      </w:r>
    </w:p>
    <w:p>
      <w:pPr>
        <w:ind w:firstLine="565" w:firstLineChars="202"/>
        <w:rPr>
          <w:rFonts w:eastAsia="仿宋_GB2312"/>
          <w:color w:val="auto"/>
          <w:sz w:val="28"/>
          <w:szCs w:val="28"/>
        </w:rPr>
      </w:pPr>
      <w:r>
        <w:rPr>
          <w:rFonts w:eastAsia="仿宋_GB2312"/>
          <w:color w:val="auto"/>
          <w:sz w:val="28"/>
          <w:szCs w:val="28"/>
        </w:rPr>
        <w:t>联 系 人：</w:t>
      </w:r>
      <w:r>
        <w:rPr>
          <w:rFonts w:eastAsia="仿宋_GB2312"/>
          <w:color w:val="auto"/>
          <w:sz w:val="28"/>
          <w:szCs w:val="28"/>
          <w:u w:val="single"/>
        </w:rPr>
        <w:t>　谢先生　　　</w:t>
      </w:r>
    </w:p>
    <w:p>
      <w:pPr>
        <w:ind w:firstLine="565" w:firstLineChars="202"/>
        <w:rPr>
          <w:rFonts w:eastAsia="仿宋_GB2312"/>
          <w:color w:val="auto"/>
          <w:sz w:val="28"/>
          <w:szCs w:val="28"/>
        </w:rPr>
      </w:pPr>
      <w:r>
        <w:rPr>
          <w:rFonts w:eastAsia="仿宋_GB2312"/>
          <w:color w:val="auto"/>
          <w:sz w:val="28"/>
          <w:szCs w:val="28"/>
        </w:rPr>
        <w:t>联系地址：</w:t>
      </w:r>
      <w:r>
        <w:rPr>
          <w:rFonts w:eastAsia="仿宋_GB2312"/>
          <w:color w:val="auto"/>
          <w:sz w:val="28"/>
          <w:szCs w:val="28"/>
          <w:u w:val="single"/>
        </w:rPr>
        <w:t>　</w:t>
      </w:r>
      <w:r>
        <w:rPr>
          <w:rFonts w:eastAsia="仿宋_GB2312"/>
          <w:color w:val="auto"/>
          <w:sz w:val="28"/>
          <w:szCs w:val="28"/>
          <w:u w:val="single"/>
          <w:shd w:val="clear" w:color="auto" w:fill="FFFFFF"/>
        </w:rPr>
        <w:t>宜兴市绿园路528号</w:t>
      </w:r>
      <w:r>
        <w:rPr>
          <w:rFonts w:eastAsia="仿宋_GB2312"/>
          <w:color w:val="auto"/>
          <w:sz w:val="28"/>
          <w:szCs w:val="28"/>
          <w:u w:val="single"/>
        </w:rPr>
        <w:t>　　</w:t>
      </w:r>
    </w:p>
    <w:p>
      <w:pPr>
        <w:ind w:firstLine="565" w:firstLineChars="202"/>
        <w:rPr>
          <w:rFonts w:eastAsia="仿宋_GB2312"/>
          <w:color w:val="auto"/>
          <w:sz w:val="28"/>
          <w:szCs w:val="28"/>
          <w:u w:val="single"/>
        </w:rPr>
      </w:pPr>
      <w:r>
        <w:rPr>
          <w:rFonts w:eastAsia="仿宋_GB2312"/>
          <w:color w:val="auto"/>
          <w:sz w:val="28"/>
          <w:szCs w:val="28"/>
        </w:rPr>
        <w:t>联系电话：</w:t>
      </w:r>
      <w:r>
        <w:rPr>
          <w:rFonts w:eastAsia="仿宋_GB2312"/>
          <w:color w:val="auto"/>
          <w:sz w:val="28"/>
          <w:szCs w:val="28"/>
          <w:u w:val="single"/>
        </w:rPr>
        <w:t>　 0510-80702123　　　　</w:t>
      </w:r>
    </w:p>
    <w:p>
      <w:pPr>
        <w:pStyle w:val="2"/>
        <w:spacing w:before="156"/>
        <w:ind w:firstLine="560" w:firstLineChars="200"/>
        <w:rPr>
          <w:rFonts w:eastAsia="仿宋_GB2312"/>
          <w:color w:val="auto"/>
          <w:sz w:val="28"/>
          <w:szCs w:val="28"/>
        </w:rPr>
      </w:pPr>
      <w:r>
        <w:rPr>
          <w:rFonts w:hint="eastAsia" w:eastAsia="仿宋_GB2312"/>
          <w:color w:val="auto"/>
          <w:sz w:val="28"/>
          <w:szCs w:val="28"/>
        </w:rPr>
        <w:t>现将以上情况公示，其他供应商如有异议。请于公示期内携书面意见材料与有关联系人联系，逾期将不再受理。</w:t>
      </w:r>
    </w:p>
    <w:p>
      <w:pPr>
        <w:pStyle w:val="2"/>
        <w:spacing w:before="156"/>
        <w:rPr>
          <w:rFonts w:eastAsia="仿宋_GB2312"/>
          <w:color w:val="auto"/>
          <w:sz w:val="28"/>
          <w:szCs w:val="28"/>
        </w:rPr>
      </w:pPr>
    </w:p>
    <w:p>
      <w:pPr>
        <w:pStyle w:val="2"/>
        <w:spacing w:before="156" w:line="400" w:lineRule="exact"/>
        <w:jc w:val="right"/>
        <w:rPr>
          <w:rFonts w:ascii="仿宋" w:hAnsi="仿宋" w:eastAsia="仿宋"/>
          <w:color w:val="auto"/>
          <w:sz w:val="28"/>
          <w:szCs w:val="28"/>
        </w:rPr>
      </w:pPr>
      <w:r>
        <w:rPr>
          <w:rFonts w:hint="eastAsia" w:ascii="仿宋" w:hAnsi="仿宋" w:eastAsia="仿宋"/>
          <w:color w:val="auto"/>
          <w:sz w:val="28"/>
          <w:szCs w:val="28"/>
        </w:rPr>
        <w:t>采购人：江苏宜公投蓝藻资源开发有限公司</w:t>
      </w:r>
    </w:p>
    <w:p>
      <w:pPr>
        <w:pStyle w:val="2"/>
        <w:spacing w:before="156" w:line="400" w:lineRule="exact"/>
        <w:jc w:val="right"/>
        <w:rPr>
          <w:rFonts w:ascii="仿宋" w:hAnsi="仿宋" w:eastAsia="仿宋"/>
          <w:color w:val="auto"/>
          <w:sz w:val="28"/>
          <w:szCs w:val="28"/>
        </w:rPr>
      </w:pPr>
      <w:r>
        <w:rPr>
          <w:rFonts w:hint="eastAsia" w:ascii="仿宋" w:hAnsi="仿宋" w:eastAsia="仿宋"/>
          <w:color w:val="auto"/>
          <w:sz w:val="28"/>
          <w:szCs w:val="28"/>
        </w:rPr>
        <w:t>202</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15</w:t>
      </w:r>
      <w:r>
        <w:rPr>
          <w:rFonts w:hint="eastAsia" w:ascii="仿宋" w:hAnsi="仿宋" w:eastAsia="仿宋"/>
          <w:color w:val="auto"/>
          <w:sz w:val="28"/>
          <w:szCs w:val="28"/>
        </w:rPr>
        <w:t>日</w:t>
      </w:r>
    </w:p>
    <w:p>
      <w:pPr>
        <w:rPr>
          <w:rFonts w:ascii="仿宋" w:hAnsi="仿宋" w:eastAsia="仿宋"/>
          <w:color w:val="auto"/>
          <w:sz w:val="28"/>
          <w:szCs w:val="28"/>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FBD20"/>
    <w:multiLevelType w:val="singleLevel"/>
    <w:tmpl w:val="9EFFBD20"/>
    <w:lvl w:ilvl="0" w:tentative="0">
      <w:start w:val="1"/>
      <w:numFmt w:val="decimal"/>
      <w:suff w:val="space"/>
      <w:lvlText w:val="%1."/>
      <w:lvlJc w:val="left"/>
    </w:lvl>
  </w:abstractNum>
  <w:abstractNum w:abstractNumId="1">
    <w:nsid w:val="04AED51E"/>
    <w:multiLevelType w:val="singleLevel"/>
    <w:tmpl w:val="04AED51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zQ1Yzc3ZGRlYjk4YWU3ZWFhMjA0Y2MyNTZhMjkifQ=="/>
  </w:docVars>
  <w:rsids>
    <w:rsidRoot w:val="0093718C"/>
    <w:rsid w:val="00062C88"/>
    <w:rsid w:val="00100E1B"/>
    <w:rsid w:val="0012167A"/>
    <w:rsid w:val="00193233"/>
    <w:rsid w:val="001A51D7"/>
    <w:rsid w:val="0026146F"/>
    <w:rsid w:val="002A5DBC"/>
    <w:rsid w:val="0032514A"/>
    <w:rsid w:val="003C70B4"/>
    <w:rsid w:val="00410418"/>
    <w:rsid w:val="004E641C"/>
    <w:rsid w:val="004F74E0"/>
    <w:rsid w:val="005754DC"/>
    <w:rsid w:val="005D462C"/>
    <w:rsid w:val="006074A7"/>
    <w:rsid w:val="006B3F0B"/>
    <w:rsid w:val="00726A88"/>
    <w:rsid w:val="007A7D42"/>
    <w:rsid w:val="00842BD3"/>
    <w:rsid w:val="008506FE"/>
    <w:rsid w:val="00917C77"/>
    <w:rsid w:val="0093718C"/>
    <w:rsid w:val="009439E3"/>
    <w:rsid w:val="0096295B"/>
    <w:rsid w:val="009D5EAF"/>
    <w:rsid w:val="00A117F1"/>
    <w:rsid w:val="00A91CDA"/>
    <w:rsid w:val="00AF08F5"/>
    <w:rsid w:val="00B23CB9"/>
    <w:rsid w:val="00D00A45"/>
    <w:rsid w:val="00D04F60"/>
    <w:rsid w:val="00D54348"/>
    <w:rsid w:val="00DD70E0"/>
    <w:rsid w:val="00E07362"/>
    <w:rsid w:val="00E12807"/>
    <w:rsid w:val="00E35FCA"/>
    <w:rsid w:val="00F118D0"/>
    <w:rsid w:val="00F56B6F"/>
    <w:rsid w:val="00FB0599"/>
    <w:rsid w:val="017811A4"/>
    <w:rsid w:val="03D51E99"/>
    <w:rsid w:val="12F31FEC"/>
    <w:rsid w:val="21A90109"/>
    <w:rsid w:val="22CA07C0"/>
    <w:rsid w:val="26C53658"/>
    <w:rsid w:val="26E77D77"/>
    <w:rsid w:val="2E2105A3"/>
    <w:rsid w:val="2FA71DA3"/>
    <w:rsid w:val="2FB15EDA"/>
    <w:rsid w:val="35396E1E"/>
    <w:rsid w:val="3CBB20C0"/>
    <w:rsid w:val="49AD2ED2"/>
    <w:rsid w:val="52AC2AAE"/>
    <w:rsid w:val="57685A42"/>
    <w:rsid w:val="604B335D"/>
    <w:rsid w:val="63793462"/>
    <w:rsid w:val="699A3A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beforeLines="50" w:line="360" w:lineRule="auto"/>
      <w:jc w:val="left"/>
    </w:pPr>
    <w:rPr>
      <w:sz w:val="24"/>
    </w:rPr>
  </w:style>
  <w:style w:type="paragraph" w:styleId="4">
    <w:name w:val="annotation text"/>
    <w:basedOn w:val="1"/>
    <w:autoRedefine/>
    <w:semiHidden/>
    <w:unhideWhenUsed/>
    <w:qFormat/>
    <w:uiPriority w:val="99"/>
    <w:pPr>
      <w:jc w:val="left"/>
    </w:p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Strong"/>
    <w:autoRedefine/>
    <w:qFormat/>
    <w:uiPriority w:val="0"/>
    <w:rPr>
      <w:b/>
      <w:bCs/>
    </w:rPr>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标题 1 Char"/>
    <w:basedOn w:val="9"/>
    <w:link w:val="3"/>
    <w:autoRedefine/>
    <w:qFormat/>
    <w:uiPriority w:val="9"/>
    <w:rPr>
      <w:rFonts w:ascii="Times New Roman" w:hAnsi="Times New Roman" w:eastAsia="宋体" w:cs="Times New Roman"/>
      <w:b/>
      <w:bCs/>
      <w:kern w:val="44"/>
      <w:sz w:val="44"/>
      <w:szCs w:val="44"/>
    </w:rPr>
  </w:style>
  <w:style w:type="paragraph" w:styleId="15">
    <w:name w:val="List Paragraph"/>
    <w:basedOn w:val="1"/>
    <w:autoRedefine/>
    <w:qFormat/>
    <w:uiPriority w:val="34"/>
    <w:pPr>
      <w:ind w:firstLine="420" w:firstLineChars="200"/>
    </w:pPr>
  </w:style>
  <w:style w:type="paragraph" w:customStyle="1" w:styleId="16">
    <w:name w:val="a"/>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339</Words>
  <Characters>1936</Characters>
  <Lines>16</Lines>
  <Paragraphs>4</Paragraphs>
  <TotalTime>17</TotalTime>
  <ScaleCrop>false</ScaleCrop>
  <LinksUpToDate>false</LinksUpToDate>
  <CharactersWithSpaces>2271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2022-03-21T05:36:00Z</dcterms:created>
  <dc:creator>282002778@qq.com</dc:creator>
  <cp:lastModifiedBy>ss.c</cp:lastModifiedBy>
  <cp:lastPrinted>2023-12-14T03:43:00Z</cp:lastPrinted>
  <dcterms:modified xsi:type="dcterms:W3CDTF">2023-12-15T06:48:45Z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DEACCFA19475476F87F54925458B8126_13</vt:lpwstr>
  </property>
</Properties>
</file>