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FF" w:rsidRDefault="00132FFF" w:rsidP="00132FFF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宜兴市西</w:t>
      </w:r>
      <w:proofErr w:type="gramStart"/>
      <w:r>
        <w:rPr>
          <w:rFonts w:ascii="黑体" w:eastAsia="黑体" w:hAnsi="黑体" w:hint="eastAsia"/>
          <w:bCs/>
          <w:sz w:val="44"/>
          <w:szCs w:val="44"/>
        </w:rPr>
        <w:t>氿</w:t>
      </w:r>
      <w:proofErr w:type="gramEnd"/>
      <w:r>
        <w:rPr>
          <w:rFonts w:ascii="黑体" w:eastAsia="黑体" w:hAnsi="黑体" w:hint="eastAsia"/>
          <w:bCs/>
          <w:sz w:val="44"/>
          <w:szCs w:val="44"/>
        </w:rPr>
        <w:t>鱼塘地形测绘项目</w:t>
      </w:r>
    </w:p>
    <w:p w:rsidR="00132FFF" w:rsidRDefault="00132FFF" w:rsidP="00132FFF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采购澄清公告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489"/>
        <w:jc w:val="left"/>
        <w:rPr>
          <w:rFonts w:ascii="仿宋" w:eastAsia="仿宋" w:hAnsi="仿宋" w:cs="Tahoma"/>
          <w:color w:val="444444"/>
          <w:kern w:val="0"/>
          <w:sz w:val="26"/>
          <w:szCs w:val="26"/>
        </w:rPr>
      </w:pP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489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本次就</w:t>
      </w:r>
      <w:r w:rsidR="0010578B" w:rsidRPr="0010578B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宜兴市公用环境科技有限公司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宜兴市西</w:t>
      </w:r>
      <w:proofErr w:type="gramStart"/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氿</w:t>
      </w:r>
      <w:proofErr w:type="gramEnd"/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鱼塘地形测绘项目采购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项目进行公开招标，已于2022年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2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月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9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日发布了招标公告，现发布第1次澄清公告。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489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4"/>
        </w:rPr>
        <w:t>一、原招标文件主要信息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1、项目名称：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宜兴市西</w:t>
      </w:r>
      <w:proofErr w:type="gramStart"/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氿</w:t>
      </w:r>
      <w:proofErr w:type="gramEnd"/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鱼塘地形测绘项目采购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2、项目编号：</w:t>
      </w:r>
      <w:r w:rsidRPr="007E5C8D">
        <w:rPr>
          <w:rFonts w:ascii="仿宋" w:eastAsia="仿宋" w:hAnsi="仿宋" w:cs="Tahoma"/>
          <w:color w:val="444444"/>
          <w:kern w:val="0"/>
          <w:sz w:val="28"/>
          <w:szCs w:val="24"/>
        </w:rPr>
        <w:t>YXGYJT202201010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3、公告日期：2022年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2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月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9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日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4、第一次更正公告日期：2022年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2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月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14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日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ind w:firstLine="530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5、公告媒体：宜兴市公用产业集团有限公司网站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Calibri" w:eastAsia="仿宋" w:hAnsi="Calibri" w:cs="Calibri"/>
          <w:color w:val="444444"/>
          <w:kern w:val="0"/>
          <w:sz w:val="28"/>
          <w:szCs w:val="24"/>
        </w:rPr>
        <w:t>  </w:t>
      </w:r>
      <w:r w:rsidRPr="007E5C8D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4"/>
        </w:rPr>
        <w:t>二、澄清信息</w:t>
      </w:r>
    </w:p>
    <w:p w:rsidR="00132FFF" w:rsidRPr="007E5C8D" w:rsidRDefault="00132FFF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1</w:t>
      </w:r>
      <w:r w:rsidR="007E5C8D"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、原招标文件中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投标人参加本次投标活动应具备下列资格条件</w:t>
      </w:r>
      <w:r w:rsidR="007E5C8D"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现更改为：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投标人参加本次投标活动应具备下列资格条件：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①具有独立承担民事责任的能力；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②有依法缴纳税收和社会保障资金的良好记录；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③具有履行合同所必需的设备和专业技术能力；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④不接受联合体，不接受成交后分包；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⑤无不良信用记录；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lastRenderedPageBreak/>
        <w:t>⑥投标人须具备测绘乙级或以上（</w:t>
      </w:r>
      <w:r w:rsidRPr="0013619E">
        <w:rPr>
          <w:rFonts w:ascii="仿宋" w:eastAsia="仿宋" w:hAnsi="仿宋" w:cs="Tahoma" w:hint="eastAsia"/>
          <w:color w:val="444444"/>
          <w:kern w:val="0"/>
          <w:sz w:val="28"/>
          <w:szCs w:val="24"/>
          <w:highlight w:val="yellow"/>
        </w:rPr>
        <w:t>专业范围含有工程测量</w:t>
      </w: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），具有履行合同所必需的设备和专业技术能力，不接受联合体，不接受中标后分包。</w:t>
      </w:r>
    </w:p>
    <w:p w:rsidR="007E5C8D" w:rsidRPr="007E5C8D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⑦投标人拟派项目负责人须具备测绘专业中级及以上职称。</w:t>
      </w:r>
    </w:p>
    <w:p w:rsidR="007E5C8D" w:rsidRPr="00132FFF" w:rsidRDefault="007E5C8D" w:rsidP="007E5C8D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⑧承诺书、拟投入本项目的项目负责人简历表、主要人员简历表、技术参数及相关要求偏离表。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jc w:val="left"/>
        <w:rPr>
          <w:rFonts w:ascii="仿宋" w:eastAsia="仿宋" w:hAnsi="仿宋" w:cs="Tahoma"/>
          <w:color w:val="444444"/>
          <w:kern w:val="0"/>
          <w:sz w:val="28"/>
          <w:szCs w:val="24"/>
        </w:rPr>
      </w:pP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2、</w:t>
      </w:r>
      <w:r w:rsidR="007E5C8D" w:rsidRPr="007E5C8D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投标文件格式中报价单现修改为</w:t>
      </w:r>
      <w:r w:rsidRPr="00132FFF">
        <w:rPr>
          <w:rFonts w:ascii="仿宋" w:eastAsia="仿宋" w:hAnsi="仿宋" w:cs="Tahoma" w:hint="eastAsia"/>
          <w:color w:val="444444"/>
          <w:kern w:val="0"/>
          <w:sz w:val="28"/>
          <w:szCs w:val="24"/>
        </w:rPr>
        <w:t>：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272"/>
        <w:gridCol w:w="1728"/>
        <w:gridCol w:w="2091"/>
        <w:gridCol w:w="2091"/>
        <w:gridCol w:w="881"/>
      </w:tblGrid>
      <w:tr w:rsidR="007E5C8D" w:rsidRPr="007E5C8D" w:rsidTr="00855332">
        <w:tc>
          <w:tcPr>
            <w:tcW w:w="310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序号</w:t>
            </w:r>
          </w:p>
        </w:tc>
        <w:tc>
          <w:tcPr>
            <w:tcW w:w="1044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品类</w:t>
            </w:r>
          </w:p>
        </w:tc>
        <w:tc>
          <w:tcPr>
            <w:tcW w:w="816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数量               （亩）</w:t>
            </w:r>
          </w:p>
        </w:tc>
        <w:tc>
          <w:tcPr>
            <w:tcW w:w="1011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投标限价                (元/亩)</w:t>
            </w:r>
          </w:p>
        </w:tc>
        <w:tc>
          <w:tcPr>
            <w:tcW w:w="1011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投标单价                (元/亩)</w:t>
            </w:r>
          </w:p>
        </w:tc>
        <w:tc>
          <w:tcPr>
            <w:tcW w:w="804" w:type="pct"/>
            <w:noWrap/>
            <w:vAlign w:val="center"/>
          </w:tcPr>
          <w:p w:rsidR="007E5C8D" w:rsidRPr="007E5C8D" w:rsidRDefault="007E5C8D" w:rsidP="00855332">
            <w:pPr>
              <w:spacing w:line="360" w:lineRule="auto"/>
              <w:jc w:val="center"/>
              <w:rPr>
                <w:rFonts w:ascii="仿宋" w:eastAsia="仿宋" w:hAnsi="仿宋" w:cs="宋体"/>
                <w:sz w:val="22"/>
                <w:szCs w:val="24"/>
              </w:rPr>
            </w:pPr>
            <w:r w:rsidRPr="007E5C8D">
              <w:rPr>
                <w:rFonts w:ascii="仿宋" w:eastAsia="仿宋" w:hAnsi="仿宋" w:cs="宋体" w:hint="eastAsia"/>
                <w:sz w:val="22"/>
                <w:szCs w:val="24"/>
              </w:rPr>
              <w:t>小计(万元）</w:t>
            </w:r>
          </w:p>
        </w:tc>
      </w:tr>
      <w:tr w:rsidR="007E5C8D" w:rsidTr="00855332">
        <w:tc>
          <w:tcPr>
            <w:tcW w:w="310" w:type="pct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7E5C8D" w:rsidRDefault="007E5C8D" w:rsidP="00855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E5C8D">
              <w:rPr>
                <w:rFonts w:ascii="宋体" w:hAnsi="宋体"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7E5C8D">
              <w:rPr>
                <w:rFonts w:ascii="宋体" w:hAnsi="宋体" w:hint="eastAsia"/>
                <w:color w:val="000000"/>
                <w:sz w:val="24"/>
                <w:szCs w:val="24"/>
              </w:rPr>
              <w:t>氿</w:t>
            </w:r>
            <w:proofErr w:type="gramEnd"/>
            <w:r w:rsidRPr="007E5C8D">
              <w:rPr>
                <w:rFonts w:ascii="宋体" w:hAnsi="宋体" w:hint="eastAsia"/>
                <w:color w:val="000000"/>
                <w:sz w:val="24"/>
                <w:szCs w:val="24"/>
              </w:rPr>
              <w:t>鱼塘地形测绘</w:t>
            </w:r>
          </w:p>
        </w:tc>
        <w:tc>
          <w:tcPr>
            <w:tcW w:w="816" w:type="pct"/>
            <w:noWrap/>
            <w:vAlign w:val="center"/>
          </w:tcPr>
          <w:p w:rsidR="007E5C8D" w:rsidRDefault="007E5C8D" w:rsidP="00855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3600</w:t>
            </w:r>
          </w:p>
        </w:tc>
        <w:tc>
          <w:tcPr>
            <w:tcW w:w="1011" w:type="pct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1011" w:type="pct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4" w:type="pct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E5C8D" w:rsidTr="00855332">
        <w:trPr>
          <w:trHeight w:val="768"/>
        </w:trPr>
        <w:tc>
          <w:tcPr>
            <w:tcW w:w="1355" w:type="pct"/>
            <w:gridSpan w:val="2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合计（大写）：</w:t>
            </w:r>
          </w:p>
        </w:tc>
        <w:tc>
          <w:tcPr>
            <w:tcW w:w="3644" w:type="pct"/>
            <w:gridSpan w:val="4"/>
            <w:noWrap/>
            <w:vAlign w:val="center"/>
          </w:tcPr>
          <w:p w:rsidR="007E5C8D" w:rsidRDefault="007E5C8D" w:rsidP="0085533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32FFF" w:rsidRDefault="007E5C8D" w:rsidP="00132FFF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color w:val="444444"/>
          <w:kern w:val="0"/>
          <w:sz w:val="26"/>
          <w:szCs w:val="26"/>
        </w:rPr>
      </w:pPr>
      <w:r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3</w:t>
      </w:r>
      <w:r w:rsidR="0013619E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、</w:t>
      </w:r>
      <w:r w:rsidR="00132FFF" w:rsidRPr="00132FFF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开标时间</w:t>
      </w:r>
      <w:r w:rsidR="0013619E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延迟至2022年2月</w:t>
      </w:r>
      <w:r w:rsidR="00877466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18</w:t>
      </w:r>
      <w:r w:rsidR="0013619E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日15:00</w:t>
      </w:r>
      <w:r w:rsidR="00132FFF" w:rsidRPr="00132FFF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。</w:t>
      </w:r>
    </w:p>
    <w:p w:rsidR="00781755" w:rsidRPr="00781755" w:rsidRDefault="00781755" w:rsidP="00132FFF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color w:val="444444"/>
          <w:kern w:val="0"/>
          <w:sz w:val="26"/>
          <w:szCs w:val="26"/>
        </w:rPr>
      </w:pPr>
      <w:r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4、因项目延迟，请2月</w:t>
      </w:r>
      <w:r w:rsidR="00877466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14</w:t>
      </w:r>
      <w:r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日</w:t>
      </w:r>
      <w:r w:rsidR="00877466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17</w:t>
      </w:r>
      <w:r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:00至2月18日15:00缴纳保证金的单位将保证金汇至以下账户，之前打款的保证金也生效。</w:t>
      </w:r>
      <w:r w:rsidR="00A46A1D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（</w:t>
      </w:r>
      <w:r w:rsidR="00D711DA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光大银行宜兴支行，账号：</w:t>
      </w:r>
      <w:r w:rsidR="00D711DA" w:rsidRPr="00D711DA">
        <w:rPr>
          <w:rFonts w:ascii="仿宋" w:eastAsia="仿宋" w:hAnsi="仿宋" w:cs="Tahoma"/>
          <w:color w:val="444444"/>
          <w:kern w:val="0"/>
          <w:sz w:val="26"/>
          <w:szCs w:val="26"/>
        </w:rPr>
        <w:t>10010188000021082</w:t>
      </w:r>
      <w:r w:rsidR="00A46A1D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）</w:t>
      </w:r>
    </w:p>
    <w:p w:rsidR="007E5C8D" w:rsidRPr="00132FFF" w:rsidRDefault="00781755" w:rsidP="00132FFF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5</w:t>
      </w:r>
      <w:r w:rsidR="007E5C8D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、后</w:t>
      </w:r>
      <w:proofErr w:type="gramStart"/>
      <w:r w:rsidR="007E5C8D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附资格</w:t>
      </w:r>
      <w:proofErr w:type="gramEnd"/>
      <w:r w:rsidR="007E5C8D">
        <w:rPr>
          <w:rFonts w:ascii="仿宋" w:eastAsia="仿宋" w:hAnsi="仿宋" w:cs="Tahoma" w:hint="eastAsia"/>
          <w:color w:val="444444"/>
          <w:kern w:val="0"/>
          <w:sz w:val="26"/>
          <w:szCs w:val="26"/>
        </w:rPr>
        <w:t>申明函格式</w:t>
      </w:r>
    </w:p>
    <w:p w:rsidR="00132FFF" w:rsidRPr="00132FFF" w:rsidRDefault="00132FFF" w:rsidP="00132FFF">
      <w:pPr>
        <w:widowControl/>
        <w:shd w:val="clear" w:color="auto" w:fill="FFFFFF"/>
        <w:spacing w:line="394" w:lineRule="atLeast"/>
        <w:jc w:val="left"/>
        <w:rPr>
          <w:rFonts w:ascii="Tahoma" w:eastAsia="宋体" w:hAnsi="Tahoma" w:cs="Tahoma"/>
          <w:color w:val="444444"/>
          <w:kern w:val="0"/>
          <w:sz w:val="22"/>
        </w:rPr>
      </w:pPr>
      <w:r w:rsidRPr="00132FFF">
        <w:rPr>
          <w:rFonts w:ascii="Tahoma" w:eastAsia="宋体" w:hAnsi="Tahoma" w:cs="Tahoma"/>
          <w:b/>
          <w:bCs/>
          <w:color w:val="444444"/>
          <w:kern w:val="0"/>
          <w:sz w:val="26"/>
        </w:rPr>
        <w:t> </w:t>
      </w:r>
      <w:r w:rsidRPr="00132FFF">
        <w:rPr>
          <w:rFonts w:ascii="仿宋" w:eastAsia="仿宋" w:hAnsi="仿宋" w:cs="Tahoma" w:hint="eastAsia"/>
          <w:b/>
          <w:bCs/>
          <w:color w:val="444444"/>
          <w:kern w:val="0"/>
          <w:sz w:val="26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132FFF" w:rsidRPr="00132FFF" w:rsidTr="00132FFF">
        <w:trPr>
          <w:trHeight w:val="2676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82" w:type="dxa"/>
            </w:tcMar>
            <w:hideMark/>
          </w:tcPr>
          <w:p w:rsidR="00132FFF" w:rsidRPr="00132FFF" w:rsidRDefault="00132FFF" w:rsidP="00132FFF">
            <w:pPr>
              <w:widowControl/>
              <w:spacing w:line="394" w:lineRule="atLeast"/>
              <w:ind w:firstLine="489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132FFF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采购人：</w:t>
            </w:r>
            <w:r w:rsidR="0010578B" w:rsidRPr="0010578B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宜兴市公用环境科技有限公司</w:t>
            </w:r>
          </w:p>
          <w:p w:rsidR="00132FFF" w:rsidRPr="00132FFF" w:rsidRDefault="00132FFF" w:rsidP="00132FFF">
            <w:pPr>
              <w:widowControl/>
              <w:spacing w:line="394" w:lineRule="atLeast"/>
              <w:ind w:firstLine="489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132FFF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联系人：刘先生、谢先生</w:t>
            </w:r>
          </w:p>
          <w:p w:rsidR="00132FFF" w:rsidRPr="00132FFF" w:rsidRDefault="00132FFF" w:rsidP="00132FFF">
            <w:pPr>
              <w:widowControl/>
              <w:spacing w:line="394" w:lineRule="atLeast"/>
              <w:ind w:firstLine="489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132FFF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联系电话：0510-80718885、0510-80702123</w:t>
            </w:r>
          </w:p>
          <w:p w:rsidR="00132FFF" w:rsidRPr="00132FFF" w:rsidRDefault="00132FFF" w:rsidP="00132FFF">
            <w:pPr>
              <w:widowControl/>
              <w:spacing w:line="394" w:lineRule="atLeast"/>
              <w:ind w:firstLine="489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132FFF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联系地址：宜兴市环科园绿园路528号</w:t>
            </w:r>
          </w:p>
          <w:p w:rsidR="00132FFF" w:rsidRPr="00132FFF" w:rsidRDefault="00132FFF" w:rsidP="00D711DA">
            <w:pPr>
              <w:widowControl/>
              <w:spacing w:line="394" w:lineRule="atLeast"/>
              <w:ind w:firstLine="489"/>
              <w:jc w:val="left"/>
              <w:rPr>
                <w:rFonts w:ascii="仿宋" w:eastAsia="仿宋" w:hAnsi="仿宋" w:cs="Tahoma"/>
                <w:color w:val="444444"/>
                <w:kern w:val="0"/>
                <w:sz w:val="26"/>
                <w:szCs w:val="26"/>
              </w:rPr>
            </w:pPr>
            <w:r w:rsidRPr="00132FFF">
              <w:rPr>
                <w:rFonts w:ascii="仿宋" w:eastAsia="仿宋" w:hAnsi="仿宋" w:cs="Tahoma" w:hint="eastAsia"/>
                <w:color w:val="444444"/>
                <w:kern w:val="0"/>
                <w:sz w:val="26"/>
                <w:szCs w:val="26"/>
              </w:rPr>
              <w:t>邮政编码：214200</w:t>
            </w:r>
          </w:p>
        </w:tc>
      </w:tr>
    </w:tbl>
    <w:p w:rsidR="0005259C" w:rsidRDefault="0005259C" w:rsidP="0005259C">
      <w:pPr>
        <w:spacing w:line="240" w:lineRule="atLeast"/>
        <w:rPr>
          <w:rFonts w:ascii="黑体" w:eastAsia="黑体"/>
          <w:bCs/>
          <w:sz w:val="24"/>
          <w:szCs w:val="24"/>
        </w:rPr>
      </w:pPr>
      <w:bookmarkStart w:id="0" w:name="报价方关于资格的声明函（格式）"/>
      <w:bookmarkStart w:id="1" w:name="_Toc24943"/>
      <w:bookmarkEnd w:id="0"/>
    </w:p>
    <w:p w:rsidR="0005259C" w:rsidRDefault="0005259C" w:rsidP="0005259C">
      <w:pPr>
        <w:spacing w:line="240" w:lineRule="atLeast"/>
        <w:rPr>
          <w:rFonts w:ascii="黑体" w:eastAsia="黑体"/>
          <w:bCs/>
          <w:sz w:val="36"/>
        </w:rPr>
      </w:pPr>
      <w:r>
        <w:rPr>
          <w:rFonts w:ascii="黑体" w:eastAsia="黑体" w:hint="eastAsia"/>
          <w:bCs/>
          <w:sz w:val="24"/>
          <w:szCs w:val="24"/>
        </w:rPr>
        <w:lastRenderedPageBreak/>
        <w:t>关于资格的声明函（格式）：</w:t>
      </w:r>
    </w:p>
    <w:p w:rsidR="0005259C" w:rsidRPr="0005259C" w:rsidRDefault="0005259C" w:rsidP="00D711DA">
      <w:pPr>
        <w:spacing w:beforeLines="50" w:afterLines="50" w:line="240" w:lineRule="atLeast"/>
        <w:rPr>
          <w:rFonts w:ascii="黑体" w:eastAsia="黑体"/>
          <w:bCs/>
          <w:sz w:val="28"/>
          <w:szCs w:val="28"/>
        </w:rPr>
      </w:pPr>
    </w:p>
    <w:p w:rsidR="0005259C" w:rsidRDefault="0005259C" w:rsidP="00D711DA">
      <w:pPr>
        <w:spacing w:beforeLines="50" w:afterLines="50" w:line="240" w:lineRule="atLeas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28"/>
          <w:szCs w:val="28"/>
        </w:rPr>
        <w:t>关于资格的声明函</w:t>
      </w:r>
      <w:bookmarkEnd w:id="1"/>
    </w:p>
    <w:p w:rsidR="0005259C" w:rsidRDefault="0005259C" w:rsidP="0005259C">
      <w:pPr>
        <w:spacing w:line="240" w:lineRule="atLeast"/>
        <w:jc w:val="center"/>
        <w:rPr>
          <w:rFonts w:ascii="宋体"/>
          <w:bCs/>
          <w:sz w:val="24"/>
          <w:szCs w:val="24"/>
        </w:rPr>
      </w:pPr>
      <w:r>
        <w:rPr>
          <w:rFonts w:ascii="楷体_GB2312" w:eastAsia="楷体_GB2312" w:hint="eastAsia"/>
          <w:bCs/>
          <w:sz w:val="30"/>
        </w:rPr>
        <w:t xml:space="preserve">                 </w:t>
      </w:r>
      <w:r>
        <w:rPr>
          <w:rFonts w:ascii="宋体" w:hint="eastAsia"/>
          <w:bCs/>
          <w:sz w:val="24"/>
          <w:szCs w:val="24"/>
        </w:rPr>
        <w:t>项目编号：</w:t>
      </w:r>
      <w:r w:rsidRPr="0005259C">
        <w:rPr>
          <w:rFonts w:ascii="宋体"/>
          <w:bCs/>
          <w:sz w:val="24"/>
          <w:szCs w:val="24"/>
        </w:rPr>
        <w:t>YXGYJT202201010</w:t>
      </w:r>
    </w:p>
    <w:p w:rsidR="0005259C" w:rsidRDefault="0005259C" w:rsidP="0005259C">
      <w:pPr>
        <w:spacing w:line="240" w:lineRule="atLeast"/>
        <w:jc w:val="center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 日期：</w:t>
      </w:r>
    </w:p>
    <w:p w:rsidR="0005259C" w:rsidRDefault="0005259C" w:rsidP="0005259C">
      <w:pPr>
        <w:spacing w:line="240" w:lineRule="atLeast"/>
        <w:jc w:val="center"/>
        <w:rPr>
          <w:rFonts w:ascii="宋体"/>
          <w:bCs/>
          <w:sz w:val="24"/>
          <w:szCs w:val="24"/>
        </w:rPr>
      </w:pPr>
    </w:p>
    <w:p w:rsidR="0005259C" w:rsidRDefault="0010578B" w:rsidP="0005259C">
      <w:pPr>
        <w:spacing w:line="240" w:lineRule="atLeast"/>
        <w:rPr>
          <w:rFonts w:ascii="宋体"/>
          <w:bCs/>
          <w:sz w:val="24"/>
          <w:szCs w:val="24"/>
        </w:rPr>
      </w:pPr>
      <w:r w:rsidRPr="0010578B">
        <w:rPr>
          <w:rFonts w:ascii="宋体" w:hint="eastAsia"/>
          <w:bCs/>
          <w:sz w:val="24"/>
          <w:szCs w:val="24"/>
        </w:rPr>
        <w:t>宜兴市公用环境科技有限公司</w:t>
      </w:r>
      <w:r w:rsidR="0005259C">
        <w:rPr>
          <w:rFonts w:ascii="宋体" w:hint="eastAsia"/>
          <w:bCs/>
          <w:sz w:val="24"/>
          <w:szCs w:val="24"/>
        </w:rPr>
        <w:t>：</w:t>
      </w:r>
    </w:p>
    <w:p w:rsidR="0005259C" w:rsidRDefault="0005259C" w:rsidP="0005259C">
      <w:pPr>
        <w:spacing w:line="240" w:lineRule="atLeast"/>
        <w:rPr>
          <w:rFonts w:ascii="宋体"/>
          <w:bCs/>
          <w:sz w:val="24"/>
          <w:szCs w:val="24"/>
        </w:rPr>
      </w:pPr>
      <w:r>
        <w:rPr>
          <w:rFonts w:ascii="宋体" w:hint="eastAsia"/>
          <w:bCs/>
          <w:sz w:val="24"/>
          <w:szCs w:val="24"/>
        </w:rPr>
        <w:t xml:space="preserve">    我公司（单位）参加本次项目采购活动前三年内，在经营活动中没有重大违法记录，且具备履行合同所必需的设备和专业技术能力。我公司（单位）</w:t>
      </w:r>
      <w:proofErr w:type="gramStart"/>
      <w:r>
        <w:rPr>
          <w:rFonts w:ascii="宋体" w:hint="eastAsia"/>
          <w:bCs/>
          <w:sz w:val="24"/>
          <w:szCs w:val="24"/>
        </w:rPr>
        <w:t>愿针对</w:t>
      </w:r>
      <w:proofErr w:type="gramEnd"/>
      <w:r>
        <w:rPr>
          <w:rFonts w:ascii="宋体" w:hint="eastAsia"/>
          <w:bCs/>
          <w:sz w:val="24"/>
          <w:szCs w:val="24"/>
        </w:rPr>
        <w:t>本次项目进行投标，</w:t>
      </w:r>
      <w:r>
        <w:rPr>
          <w:rFonts w:ascii="宋体" w:hint="eastAsia"/>
          <w:sz w:val="24"/>
          <w:szCs w:val="24"/>
        </w:rPr>
        <w:t>所提供的货物均为原厂全新合格品，</w:t>
      </w:r>
      <w:r>
        <w:rPr>
          <w:rFonts w:ascii="宋体" w:hint="eastAsia"/>
          <w:bCs/>
          <w:sz w:val="24"/>
          <w:szCs w:val="24"/>
        </w:rPr>
        <w:t>投标文件中所有关于投标资格的文件、证明、陈述均是真实的、准确的。若有违背，我公司（单位）</w:t>
      </w:r>
      <w:r>
        <w:rPr>
          <w:rFonts w:ascii="宋体" w:hint="eastAsia"/>
          <w:bCs/>
          <w:sz w:val="24"/>
          <w:szCs w:val="24"/>
          <w:u w:val="single"/>
        </w:rPr>
        <w:t xml:space="preserve">               </w:t>
      </w:r>
      <w:r>
        <w:rPr>
          <w:rFonts w:ascii="宋体" w:hint="eastAsia"/>
          <w:bCs/>
          <w:sz w:val="24"/>
          <w:szCs w:val="24"/>
        </w:rPr>
        <w:t>同意采购人做出的相关决定并承担由此而产生的一切后果。</w:t>
      </w:r>
    </w:p>
    <w:p w:rsidR="0005259C" w:rsidRDefault="0005259C" w:rsidP="0005259C">
      <w:pPr>
        <w:spacing w:line="240" w:lineRule="atLeast"/>
        <w:rPr>
          <w:rFonts w:ascii="宋体"/>
          <w:bCs/>
          <w:sz w:val="24"/>
          <w:szCs w:val="24"/>
        </w:rPr>
      </w:pPr>
    </w:p>
    <w:p w:rsidR="0005259C" w:rsidRDefault="0005259C" w:rsidP="0005259C">
      <w:pPr>
        <w:spacing w:line="240" w:lineRule="atLeast"/>
        <w:rPr>
          <w:rFonts w:ascii="宋体"/>
          <w:sz w:val="24"/>
          <w:szCs w:val="28"/>
        </w:rPr>
      </w:pPr>
      <w:r>
        <w:rPr>
          <w:rFonts w:ascii="宋体" w:hint="eastAsia"/>
          <w:bCs/>
          <w:sz w:val="24"/>
          <w:szCs w:val="24"/>
        </w:rPr>
        <w:t xml:space="preserve">                                     </w:t>
      </w:r>
    </w:p>
    <w:p w:rsidR="0005259C" w:rsidRDefault="0005259C" w:rsidP="0005259C">
      <w:pPr>
        <w:spacing w:line="240" w:lineRule="atLeast"/>
        <w:jc w:val="center"/>
        <w:rPr>
          <w:rFonts w:ascii="宋体"/>
          <w:bCs/>
          <w:sz w:val="24"/>
          <w:lang w:val="zh-CN"/>
        </w:rPr>
      </w:pPr>
      <w:r>
        <w:rPr>
          <w:rFonts w:ascii="宋体" w:hint="eastAsia"/>
          <w:bCs/>
          <w:sz w:val="24"/>
        </w:rPr>
        <w:t xml:space="preserve">          </w:t>
      </w:r>
      <w:r>
        <w:rPr>
          <w:rFonts w:ascii="宋体" w:hint="eastAsia"/>
          <w:bCs/>
          <w:sz w:val="24"/>
          <w:lang w:val="zh-CN"/>
        </w:rPr>
        <w:t>投标人签名：</w:t>
      </w:r>
    </w:p>
    <w:p w:rsidR="0005259C" w:rsidRDefault="0005259C" w:rsidP="0005259C">
      <w:pPr>
        <w:spacing w:line="240" w:lineRule="atLeast"/>
        <w:jc w:val="center"/>
        <w:rPr>
          <w:rFonts w:ascii="宋体"/>
          <w:bCs/>
          <w:sz w:val="24"/>
          <w:lang w:val="zh-CN"/>
        </w:rPr>
      </w:pPr>
      <w:r>
        <w:rPr>
          <w:rFonts w:ascii="宋体" w:hint="eastAsia"/>
          <w:bCs/>
          <w:sz w:val="24"/>
        </w:rPr>
        <w:t xml:space="preserve">          </w:t>
      </w:r>
      <w:r>
        <w:rPr>
          <w:rFonts w:ascii="宋体" w:hint="eastAsia"/>
          <w:bCs/>
          <w:sz w:val="24"/>
          <w:lang w:val="zh-CN"/>
        </w:rPr>
        <w:t>投标人公章：</w:t>
      </w:r>
    </w:p>
    <w:p w:rsidR="0005259C" w:rsidRDefault="0005259C" w:rsidP="0005259C">
      <w:pPr>
        <w:spacing w:line="240" w:lineRule="atLeast"/>
        <w:jc w:val="center"/>
        <w:rPr>
          <w:rFonts w:ascii="黑体" w:eastAsia="黑体"/>
          <w:bCs/>
          <w:sz w:val="28"/>
          <w:szCs w:val="28"/>
        </w:rPr>
      </w:pPr>
    </w:p>
    <w:p w:rsidR="0005259C" w:rsidRDefault="00376772" w:rsidP="0005259C">
      <w:pPr>
        <w:spacing w:line="240" w:lineRule="atLeast"/>
        <w:rPr>
          <w:rFonts w:ascii="黑体" w:eastAsia="黑体"/>
          <w:bCs/>
          <w:sz w:val="28"/>
          <w:szCs w:val="28"/>
        </w:rPr>
      </w:pPr>
      <w:r w:rsidRPr="00376772">
        <w:rPr>
          <w:rFonts w:ascii="楷体_GB2312" w:eastAsia="楷体_GB2312"/>
          <w:bCs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58.3pt;margin-top:11.55pt;width:246.95pt;height:167pt;z-index:251661312">
            <v:textbox>
              <w:txbxContent>
                <w:p w:rsidR="0005259C" w:rsidRDefault="0005259C" w:rsidP="0005259C">
                  <w:pPr>
                    <w:jc w:val="left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05259C" w:rsidRDefault="0005259C" w:rsidP="0005259C">
                  <w:pPr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05259C" w:rsidRDefault="0005259C" w:rsidP="0005259C">
                  <w:pPr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反面</w:t>
                  </w:r>
                </w:p>
              </w:txbxContent>
            </v:textbox>
          </v:shape>
        </w:pict>
      </w:r>
      <w:r w:rsidRPr="00376772">
        <w:rPr>
          <w:rFonts w:ascii="楷体_GB2312" w:eastAsia="楷体_GB2312"/>
          <w:bCs/>
          <w:sz w:val="24"/>
        </w:rPr>
        <w:pict>
          <v:shape id="文本框 3" o:spid="_x0000_s1032" type="#_x0000_t202" style="position:absolute;left:0;text-align:left;margin-left:-2.35pt;margin-top:12.05pt;width:235.4pt;height:163.05pt;z-index:251660288">
            <v:textbox>
              <w:txbxContent>
                <w:p w:rsidR="0005259C" w:rsidRDefault="0005259C" w:rsidP="0005259C">
                  <w:pPr>
                    <w:jc w:val="left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  <w:p w:rsidR="0005259C" w:rsidRDefault="0005259C" w:rsidP="0005259C">
                  <w:pPr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05259C" w:rsidRDefault="0005259C" w:rsidP="0005259C">
                  <w:pPr>
                    <w:jc w:val="center"/>
                    <w:rPr>
                      <w:rFonts w:ascii="楷体_GB2312" w:eastAsia="楷体_GB2312"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sz w:val="28"/>
                      <w:szCs w:val="28"/>
                    </w:rPr>
                    <w:t>正面</w:t>
                  </w:r>
                </w:p>
              </w:txbxContent>
            </v:textbox>
          </v:shape>
        </w:pict>
      </w:r>
    </w:p>
    <w:p w:rsidR="0005259C" w:rsidRDefault="0005259C" w:rsidP="0005259C">
      <w:pPr>
        <w:spacing w:line="240" w:lineRule="atLeast"/>
        <w:rPr>
          <w:rFonts w:ascii="黑体" w:eastAsia="黑体"/>
          <w:bCs/>
          <w:sz w:val="28"/>
          <w:szCs w:val="28"/>
        </w:rPr>
      </w:pPr>
    </w:p>
    <w:p w:rsidR="0005259C" w:rsidRDefault="0005259C" w:rsidP="0005259C">
      <w:pPr>
        <w:spacing w:line="240" w:lineRule="atLeast"/>
        <w:jc w:val="center"/>
        <w:rPr>
          <w:rFonts w:ascii="黑体" w:eastAsia="黑体"/>
          <w:bCs/>
          <w:sz w:val="28"/>
          <w:szCs w:val="28"/>
        </w:rPr>
      </w:pPr>
    </w:p>
    <w:p w:rsidR="0005259C" w:rsidRDefault="0005259C" w:rsidP="0005259C">
      <w:pPr>
        <w:spacing w:line="240" w:lineRule="atLeast"/>
        <w:jc w:val="center"/>
        <w:rPr>
          <w:rFonts w:ascii="黑体" w:eastAsia="黑体"/>
          <w:bCs/>
          <w:sz w:val="28"/>
          <w:szCs w:val="28"/>
        </w:rPr>
      </w:pPr>
    </w:p>
    <w:p w:rsidR="0005259C" w:rsidRDefault="0005259C" w:rsidP="0005259C">
      <w:pPr>
        <w:spacing w:line="240" w:lineRule="atLeast"/>
        <w:rPr>
          <w:rFonts w:ascii="黑体" w:eastAsia="黑体"/>
          <w:bCs/>
          <w:sz w:val="28"/>
          <w:szCs w:val="28"/>
        </w:rPr>
      </w:pPr>
    </w:p>
    <w:p w:rsidR="005B2CD3" w:rsidRDefault="005B2CD3" w:rsidP="0005259C"/>
    <w:sectPr w:rsidR="005B2CD3" w:rsidSect="005F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FFF"/>
    <w:rsid w:val="0005259C"/>
    <w:rsid w:val="0010578B"/>
    <w:rsid w:val="00132FFF"/>
    <w:rsid w:val="0013619E"/>
    <w:rsid w:val="00371F0D"/>
    <w:rsid w:val="00376772"/>
    <w:rsid w:val="00394053"/>
    <w:rsid w:val="003E66A9"/>
    <w:rsid w:val="005B2CD3"/>
    <w:rsid w:val="005F61A1"/>
    <w:rsid w:val="006B1E36"/>
    <w:rsid w:val="00781755"/>
    <w:rsid w:val="007E5C8D"/>
    <w:rsid w:val="00855866"/>
    <w:rsid w:val="00877466"/>
    <w:rsid w:val="009F7D59"/>
    <w:rsid w:val="00A46A1D"/>
    <w:rsid w:val="00B4465C"/>
    <w:rsid w:val="00BD0129"/>
    <w:rsid w:val="00C03F2A"/>
    <w:rsid w:val="00C12477"/>
    <w:rsid w:val="00CE422E"/>
    <w:rsid w:val="00D7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A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2F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32FFF"/>
    <w:rPr>
      <w:b/>
      <w:bCs/>
    </w:rPr>
  </w:style>
  <w:style w:type="character" w:customStyle="1" w:styleId="1Char">
    <w:name w:val="标题 1 Char"/>
    <w:basedOn w:val="a0"/>
    <w:link w:val="1"/>
    <w:uiPriority w:val="9"/>
    <w:rsid w:val="00132FF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2022-02-14T01:07:00Z</dcterms:created>
  <dcterms:modified xsi:type="dcterms:W3CDTF">2022-02-14T06:15:00Z</dcterms:modified>
</cp:coreProperties>
</file>