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bookmarkStart w:id="116" w:name="_GoBack"/>
      <w:bookmarkEnd w:id="116"/>
    </w:p>
    <w:p>
      <w:pPr>
        <w:jc w:val="center"/>
        <w:rPr>
          <w:rFonts w:hint="eastAsia" w:ascii="宋体" w:hAnsi="宋体" w:cs="宋体"/>
          <w:b/>
          <w:bCs/>
          <w:sz w:val="36"/>
          <w:szCs w:val="36"/>
        </w:rPr>
      </w:pPr>
      <w:r>
        <w:rPr>
          <w:rFonts w:hint="eastAsia" w:ascii="宋体" w:hAnsi="宋体" w:cs="宋体"/>
          <w:b/>
          <w:bCs/>
          <w:sz w:val="36"/>
          <w:szCs w:val="36"/>
        </w:rPr>
        <w:t>宜兴水务集团有限公司移动式静音型发电机组采购</w:t>
      </w:r>
    </w:p>
    <w:p>
      <w:pPr>
        <w:jc w:val="center"/>
        <w:rPr>
          <w:rFonts w:hint="eastAsia" w:ascii="宋体" w:hAnsi="宋体"/>
          <w:b/>
          <w:bCs/>
          <w:sz w:val="44"/>
          <w:szCs w:val="44"/>
        </w:rPr>
      </w:pPr>
    </w:p>
    <w:p>
      <w:pPr>
        <w:jc w:val="center"/>
        <w:rPr>
          <w:rFonts w:ascii="宋体" w:hAnsi="宋体"/>
          <w:b/>
          <w:bCs/>
          <w:sz w:val="44"/>
          <w:szCs w:val="44"/>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ind w:left="840" w:hanging="840"/>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hint="eastAsia" w:ascii="宋体" w:hAnsi="宋体"/>
          <w:sz w:val="32"/>
        </w:rPr>
      </w:pPr>
      <w:r>
        <w:rPr>
          <w:rFonts w:hint="eastAsia" w:ascii="宋体" w:hAnsi="宋体"/>
          <w:sz w:val="32"/>
        </w:rPr>
        <w:t>项目编号</w:t>
      </w:r>
      <w:r>
        <w:rPr>
          <w:rFonts w:ascii="宋体" w:hAnsi="宋体"/>
          <w:sz w:val="32"/>
        </w:rPr>
        <w:t>:</w:t>
      </w:r>
      <w:r>
        <w:t xml:space="preserve"> YXGYJT202110011</w:t>
      </w:r>
    </w:p>
    <w:p>
      <w:pPr>
        <w:jc w:val="center"/>
        <w:rPr>
          <w:rFonts w:ascii="宋体"/>
          <w:sz w:val="32"/>
        </w:rPr>
      </w:pPr>
      <w:r>
        <w:rPr>
          <w:rFonts w:hint="eastAsia" w:ascii="宋体" w:hAnsi="宋体"/>
          <w:sz w:val="32"/>
        </w:rPr>
        <w:t>采购人：</w:t>
      </w:r>
      <w:r>
        <w:rPr>
          <w:rFonts w:hint="eastAsia" w:hAnsi="宋体"/>
          <w:sz w:val="32"/>
        </w:rPr>
        <w:t>宜兴水务集团有限公司</w:t>
      </w:r>
    </w:p>
    <w:p>
      <w:pPr>
        <w:jc w:val="center"/>
        <w:rPr>
          <w:rFonts w:hint="eastAsia" w:ascii="宋体"/>
          <w:sz w:val="32"/>
        </w:rPr>
      </w:pPr>
      <w:r>
        <w:rPr>
          <w:rFonts w:hint="eastAsia" w:ascii="宋体" w:hAnsi="宋体"/>
          <w:sz w:val="32"/>
        </w:rPr>
        <w:t>二</w:t>
      </w:r>
      <w:r>
        <w:rPr>
          <w:rFonts w:ascii="宋体"/>
          <w:sz w:val="32"/>
        </w:rPr>
        <w:t>0</w:t>
      </w:r>
      <w:r>
        <w:rPr>
          <w:rFonts w:hint="eastAsia" w:ascii="宋体" w:hAnsi="宋体"/>
          <w:sz w:val="32"/>
        </w:rPr>
        <w:t>二一年九月二十八日</w:t>
      </w:r>
    </w:p>
    <w:p>
      <w:pPr>
        <w:jc w:val="center"/>
        <w:outlineLvl w:val="0"/>
        <w:rPr>
          <w:rFonts w:hint="eastAsia" w:ascii="黑体" w:hAnsi="黑体" w:eastAsia="黑体"/>
          <w:sz w:val="32"/>
          <w:szCs w:val="32"/>
        </w:rPr>
      </w:pPr>
      <w:bookmarkStart w:id="0" w:name="OLE_LINK7"/>
    </w:p>
    <w:p>
      <w:pPr>
        <w:pStyle w:val="2"/>
        <w:ind w:firstLine="210"/>
        <w:rPr>
          <w:rFonts w:hint="eastAsia"/>
        </w:rPr>
      </w:pPr>
    </w:p>
    <w:p>
      <w:pPr>
        <w:pStyle w:val="2"/>
        <w:ind w:firstLine="210"/>
        <w:rPr>
          <w:rFonts w:hint="eastAsia"/>
        </w:rPr>
      </w:pPr>
    </w:p>
    <w:p>
      <w:pPr>
        <w:jc w:val="center"/>
        <w:outlineLvl w:val="0"/>
        <w:rPr>
          <w:rFonts w:ascii="黑体" w:hAnsi="黑体" w:eastAsia="黑体"/>
          <w:sz w:val="32"/>
          <w:szCs w:val="32"/>
        </w:rPr>
      </w:pPr>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spacing w:line="400" w:lineRule="exact"/>
        <w:jc w:val="left"/>
        <w:rPr>
          <w:rFonts w:ascii="宋体" w:hAnsi="宋体"/>
          <w:color w:val="000000"/>
          <w:sz w:val="24"/>
          <w:szCs w:val="24"/>
        </w:rPr>
      </w:pPr>
      <w:r>
        <w:rPr>
          <w:rFonts w:hint="eastAsia" w:ascii="宋体" w:hAnsi="宋体"/>
          <w:color w:val="000000"/>
          <w:sz w:val="24"/>
          <w:szCs w:val="24"/>
        </w:rPr>
        <w:t>宜兴水务集团有限公司对</w:t>
      </w:r>
      <w:r>
        <w:rPr>
          <w:rFonts w:hint="eastAsia"/>
          <w:sz w:val="24"/>
        </w:rPr>
        <w:t>移动式静音型发电机组</w:t>
      </w:r>
      <w:r>
        <w:rPr>
          <w:rFonts w:hint="eastAsia" w:ascii="宋体" w:hAnsi="宋体"/>
          <w:bCs/>
          <w:sz w:val="24"/>
          <w:szCs w:val="24"/>
        </w:rPr>
        <w:t>采购</w:t>
      </w:r>
      <w:r>
        <w:rPr>
          <w:rFonts w:hint="eastAsia" w:ascii="宋体" w:hAnsi="宋体"/>
          <w:color w:val="000000"/>
          <w:sz w:val="24"/>
          <w:szCs w:val="24"/>
        </w:rPr>
        <w:t>组织招标，欢迎你单位参加投标并提请注意下列附表中的相关事项：</w:t>
      </w:r>
    </w:p>
    <w:tbl>
      <w:tblPr>
        <w:tblStyle w:val="75"/>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59" w:type="dxa"/>
            <w:noWrap w:val="0"/>
            <w:vAlign w:val="top"/>
          </w:tcPr>
          <w:p>
            <w:pPr>
              <w:spacing w:line="480" w:lineRule="exact"/>
              <w:jc w:val="center"/>
              <w:rPr>
                <w:rFonts w:ascii="宋体" w:hAnsi="宋体"/>
                <w:bCs/>
                <w:sz w:val="18"/>
                <w:szCs w:val="18"/>
              </w:rPr>
            </w:pPr>
            <w:r>
              <w:rPr>
                <w:rFonts w:hint="eastAsia" w:ascii="宋体" w:hAnsi="宋体"/>
                <w:bCs/>
                <w:sz w:val="24"/>
                <w:szCs w:val="24"/>
              </w:rPr>
              <w:t>序号</w:t>
            </w:r>
          </w:p>
        </w:tc>
        <w:tc>
          <w:tcPr>
            <w:tcW w:w="8674" w:type="dxa"/>
            <w:noWrap w:val="0"/>
            <w:vAlign w:val="top"/>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1</w:t>
            </w:r>
          </w:p>
        </w:tc>
        <w:tc>
          <w:tcPr>
            <w:tcW w:w="8674" w:type="dxa"/>
            <w:noWrap w:val="0"/>
            <w:vAlign w:val="top"/>
          </w:tcPr>
          <w:p>
            <w:pPr>
              <w:pStyle w:val="290"/>
            </w:pPr>
            <w:bookmarkStart w:id="2" w:name="OLE_LINK192"/>
            <w:r>
              <w:rPr>
                <w:rFonts w:hint="eastAsia"/>
              </w:rPr>
              <w:t>采购人：宜兴水务集团有限公司</w:t>
            </w:r>
          </w:p>
          <w:p>
            <w:pPr>
              <w:spacing w:line="400" w:lineRule="exact"/>
              <w:jc w:val="left"/>
              <w:rPr>
                <w:rFonts w:hint="eastAsia" w:ascii="宋体" w:hAnsi="宋体"/>
                <w:bCs/>
                <w:sz w:val="24"/>
                <w:szCs w:val="24"/>
              </w:rPr>
            </w:pPr>
            <w:r>
              <w:rPr>
                <w:rFonts w:hint="eastAsia"/>
              </w:rPr>
              <w:t>项目名称：</w:t>
            </w:r>
            <w:r>
              <w:rPr>
                <w:rFonts w:hint="eastAsia"/>
                <w:sz w:val="24"/>
              </w:rPr>
              <w:t>移动式静音型发电机组</w:t>
            </w:r>
            <w:r>
              <w:rPr>
                <w:rFonts w:hint="eastAsia" w:ascii="宋体" w:hAnsi="宋体"/>
                <w:bCs/>
                <w:sz w:val="24"/>
                <w:szCs w:val="24"/>
              </w:rPr>
              <w:t>采购</w:t>
            </w:r>
          </w:p>
          <w:p>
            <w:pPr>
              <w:pStyle w:val="290"/>
              <w:rPr>
                <w:rFonts w:hint="eastAsia"/>
              </w:rPr>
            </w:pPr>
            <w:r>
              <w:rPr>
                <w:rFonts w:hint="eastAsia"/>
              </w:rPr>
              <w:t>项目编号</w:t>
            </w:r>
            <w:r>
              <w:t>: YXGYJT202110011</w:t>
            </w:r>
          </w:p>
          <w:p>
            <w:pPr>
              <w:pStyle w:val="290"/>
            </w:pPr>
            <w:r>
              <w:rPr>
                <w:rFonts w:hint="eastAsia"/>
              </w:rPr>
              <w:t>评标方法：最低价评标法</w:t>
            </w:r>
          </w:p>
          <w:p>
            <w:pPr>
              <w:pStyle w:val="290"/>
            </w:pPr>
            <w:r>
              <w:rPr>
                <w:rFonts w:hint="eastAsia"/>
              </w:rPr>
              <w:t>本项目最高限价为</w:t>
            </w:r>
            <w:r>
              <w:rPr>
                <w:rFonts w:hint="eastAsia"/>
                <w:color w:val="000000"/>
              </w:rPr>
              <w:t>：</w:t>
            </w:r>
            <w:bookmarkEnd w:id="2"/>
            <w:r>
              <w:rPr>
                <w:rFonts w:hint="eastAsia"/>
                <w:color w:val="000000"/>
              </w:rPr>
              <w:t>45</w:t>
            </w:r>
            <w:r>
              <w:rPr>
                <w:rFonts w:hint="eastAsia"/>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959" w:type="dxa"/>
            <w:vMerge w:val="restart"/>
            <w:noWrap w:val="0"/>
            <w:vAlign w:val="center"/>
          </w:tcPr>
          <w:p>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noWrap w:val="0"/>
            <w:vAlign w:val="top"/>
          </w:tcPr>
          <w:p>
            <w:pPr>
              <w:pStyle w:val="290"/>
            </w:pPr>
            <w:r>
              <w:rPr>
                <w:rFonts w:hint="eastAsia"/>
              </w:rPr>
              <w:t>2.1投标人参加本次投标活动应具备下列资格条件：</w:t>
            </w:r>
          </w:p>
          <w:p>
            <w:pPr>
              <w:pStyle w:val="290"/>
              <w:rPr>
                <w:szCs w:val="24"/>
              </w:rPr>
            </w:pPr>
            <w:r>
              <w:rPr>
                <w:rFonts w:hint="eastAsia"/>
                <w:szCs w:val="24"/>
              </w:rPr>
              <w:t>①具有独立承担民事责任的能力，是柴油发电机组设备制造商或制造商 的授权代理商。投标人如为代理商需提供制造商针对本项目的专项授权书原件。制造商与其授权代理商不能同时参与投标，如同时参加只接受制造商投标。；</w:t>
            </w:r>
          </w:p>
          <w:p>
            <w:pPr>
              <w:pStyle w:val="290"/>
              <w:rPr>
                <w:szCs w:val="24"/>
              </w:rPr>
            </w:pPr>
            <w:r>
              <w:rPr>
                <w:rFonts w:hint="eastAsia"/>
                <w:szCs w:val="24"/>
              </w:rPr>
              <w:t>②有依法缴纳税收和社会保障资金的良好记录；</w:t>
            </w:r>
          </w:p>
          <w:p>
            <w:pPr>
              <w:pStyle w:val="290"/>
              <w:rPr>
                <w:rFonts w:hint="eastAsia"/>
                <w:szCs w:val="24"/>
              </w:rPr>
            </w:pPr>
            <w:r>
              <w:rPr>
                <w:rFonts w:hint="eastAsia"/>
                <w:szCs w:val="24"/>
              </w:rPr>
              <w:t>③具有履行合同所必需的设备和专业技术能力；</w:t>
            </w:r>
          </w:p>
          <w:p>
            <w:pPr>
              <w:rPr>
                <w:sz w:val="24"/>
                <w:szCs w:val="24"/>
              </w:rPr>
            </w:pPr>
            <w:r>
              <w:rPr>
                <w:rFonts w:hint="eastAsia"/>
                <w:sz w:val="24"/>
                <w:szCs w:val="24"/>
              </w:rPr>
              <w:t>④投标人需</w:t>
            </w:r>
            <w:r>
              <w:rPr>
                <w:rFonts w:hint="eastAsia" w:ascii="宋体" w:hAnsi="宋体"/>
                <w:color w:val="000000"/>
                <w:sz w:val="24"/>
                <w:szCs w:val="24"/>
              </w:rPr>
              <w:t>通过 ISO9001 质量管理体系认证、ISO14001 环境管理体系认证、</w:t>
            </w:r>
            <w:r>
              <w:rPr>
                <w:rFonts w:ascii="宋体" w:hAnsi="宋体"/>
                <w:color w:val="000000"/>
                <w:sz w:val="24"/>
                <w:szCs w:val="24"/>
              </w:rPr>
              <w:t>ISO45001</w:t>
            </w:r>
            <w:r>
              <w:rPr>
                <w:rFonts w:hint="eastAsia" w:ascii="宋体" w:hAnsi="宋体"/>
                <w:color w:val="000000"/>
                <w:sz w:val="24"/>
                <w:szCs w:val="24"/>
              </w:rPr>
              <w:t xml:space="preserve"> 职业健康安全管理体系认证（清晰扫描件）</w:t>
            </w:r>
          </w:p>
          <w:p>
            <w:pPr>
              <w:pStyle w:val="290"/>
              <w:rPr>
                <w:rFonts w:hint="eastAsia"/>
                <w:szCs w:val="24"/>
              </w:rPr>
            </w:pPr>
            <w:r>
              <w:rPr>
                <w:rFonts w:hint="eastAsia"/>
                <w:szCs w:val="24"/>
              </w:rPr>
              <w:t>④投标供应商在投标时须提供投标产品清晰彩照、产品参数说明书等相关资料；</w:t>
            </w:r>
          </w:p>
          <w:p>
            <w:r>
              <w:rPr>
                <w:rFonts w:hint="eastAsia"/>
                <w:sz w:val="24"/>
                <w:szCs w:val="24"/>
              </w:rPr>
              <w:t>⑤不接受联合体，不接受成交后分包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59" w:type="dxa"/>
            <w:vMerge w:val="continue"/>
            <w:noWrap w:val="0"/>
            <w:vAlign w:val="center"/>
          </w:tcPr>
          <w:p>
            <w:pPr>
              <w:spacing w:line="480" w:lineRule="exact"/>
              <w:rPr>
                <w:rFonts w:ascii="宋体" w:hAnsi="宋体"/>
                <w:sz w:val="18"/>
                <w:szCs w:val="18"/>
              </w:rPr>
            </w:pPr>
          </w:p>
        </w:tc>
        <w:tc>
          <w:tcPr>
            <w:tcW w:w="8674" w:type="dxa"/>
            <w:noWrap w:val="0"/>
            <w:vAlign w:val="top"/>
          </w:tcPr>
          <w:p>
            <w:pPr>
              <w:pStyle w:val="290"/>
              <w:rPr>
                <w:rFonts w:hAnsi="宋体"/>
                <w:szCs w:val="24"/>
                <w:lang w:val="zh-CN"/>
              </w:rPr>
            </w:pPr>
            <w:r>
              <w:rPr>
                <w:rFonts w:hAnsi="宋体"/>
                <w:szCs w:val="24"/>
                <w:lang w:val="zh-CN"/>
              </w:rPr>
              <w:t>2.</w:t>
            </w:r>
            <w:r>
              <w:rPr>
                <w:rFonts w:hAnsi="宋体"/>
                <w:szCs w:val="24"/>
              </w:rPr>
              <w:t>2</w:t>
            </w:r>
            <w:r>
              <w:rPr>
                <w:rFonts w:hint="eastAsia" w:hAnsi="宋体"/>
                <w:szCs w:val="24"/>
                <w:lang w:val="zh-CN"/>
              </w:rPr>
              <w:t>拒绝下述供应商参加本次采购活动：</w:t>
            </w:r>
          </w:p>
          <w:p>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rPr>
                <w:rFonts w:ascii="宋体" w:hAnsi="宋体"/>
                <w:sz w:val="24"/>
                <w:szCs w:val="24"/>
              </w:rPr>
            </w:pPr>
            <w:r>
              <w:rPr>
                <w:rFonts w:hint="eastAsia" w:ascii="宋体" w:hAnsi="宋体"/>
                <w:bCs/>
                <w:sz w:val="24"/>
                <w:szCs w:val="24"/>
              </w:rPr>
              <w:t>②凡为采购项目提供整体设计、规范编制或者项目管理、监理、检测等服务的供应商，不得再参加本项目的采购活动。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3</w:t>
            </w:r>
          </w:p>
        </w:tc>
        <w:tc>
          <w:tcPr>
            <w:tcW w:w="8674" w:type="dxa"/>
            <w:noWrap w:val="0"/>
            <w:vAlign w:val="center"/>
          </w:tcPr>
          <w:p>
            <w:pPr>
              <w:pStyle w:val="290"/>
              <w:rPr>
                <w:rFonts w:hAnsi="宋体"/>
                <w:bCs/>
                <w:szCs w:val="24"/>
                <w:lang w:val="zh-CN"/>
              </w:rPr>
            </w:pPr>
            <w:r>
              <w:rPr>
                <w:rFonts w:hint="eastAsia" w:hAnsi="宋体"/>
                <w:bCs/>
                <w:szCs w:val="24"/>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4</w:t>
            </w:r>
          </w:p>
        </w:tc>
        <w:tc>
          <w:tcPr>
            <w:tcW w:w="8674" w:type="dxa"/>
            <w:noWrap w:val="0"/>
            <w:vAlign w:val="center"/>
          </w:tcPr>
          <w:p>
            <w:pPr>
              <w:spacing w:line="400" w:lineRule="exact"/>
              <w:rPr>
                <w:rFonts w:ascii="宋体" w:hAnsi="宋体"/>
                <w:bCs/>
                <w:sz w:val="24"/>
                <w:szCs w:val="24"/>
              </w:rPr>
            </w:pPr>
            <w:r>
              <w:rPr>
                <w:rFonts w:hint="eastAsia" w:ascii="宋体" w:hAnsi="宋体"/>
                <w:bCs/>
                <w:sz w:val="24"/>
                <w:szCs w:val="24"/>
              </w:rPr>
              <w:t>资格审查文件：</w:t>
            </w:r>
            <w:r>
              <w:rPr>
                <w:rFonts w:ascii="宋体" w:hAnsi="宋体"/>
                <w:bCs/>
                <w:sz w:val="24"/>
                <w:szCs w:val="24"/>
              </w:rPr>
              <w:t>1</w:t>
            </w:r>
            <w:r>
              <w:rPr>
                <w:rFonts w:hint="eastAsia" w:ascii="宋体" w:hAnsi="宋体"/>
                <w:bCs/>
                <w:sz w:val="24"/>
                <w:szCs w:val="24"/>
              </w:rPr>
              <w:t>份（不需密封）</w:t>
            </w:r>
          </w:p>
          <w:p>
            <w:pPr>
              <w:pStyle w:val="2"/>
              <w:ind w:firstLine="0" w:firstLineChars="0"/>
              <w:rPr>
                <w:lang w:val="en-US" w:eastAsia="zh-CN"/>
              </w:rPr>
            </w:pPr>
            <w:r>
              <w:rPr>
                <w:rFonts w:hint="eastAsia" w:ascii="宋体" w:hAnsi="宋体"/>
                <w:bCs/>
                <w:sz w:val="24"/>
                <w:szCs w:val="24"/>
                <w:lang w:val="en-US" w:eastAsia="zh-CN"/>
              </w:rPr>
              <w:t>投标文件份数：2份（需装订后密封）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59" w:type="dxa"/>
            <w:noWrap w:val="0"/>
            <w:vAlign w:val="center"/>
          </w:tcPr>
          <w:p>
            <w:pPr>
              <w:spacing w:line="480" w:lineRule="exact"/>
              <w:jc w:val="center"/>
              <w:rPr>
                <w:rFonts w:ascii="宋体" w:hAnsi="宋体"/>
                <w:bCs/>
                <w:sz w:val="18"/>
                <w:szCs w:val="18"/>
              </w:rPr>
            </w:pPr>
            <w:r>
              <w:rPr>
                <w:rFonts w:ascii="宋体" w:hAnsi="宋体"/>
                <w:bCs/>
                <w:sz w:val="18"/>
                <w:szCs w:val="18"/>
              </w:rPr>
              <w:t>5</w:t>
            </w:r>
          </w:p>
        </w:tc>
        <w:tc>
          <w:tcPr>
            <w:tcW w:w="8674" w:type="dxa"/>
            <w:noWrap w:val="0"/>
            <w:vAlign w:val="center"/>
          </w:tcPr>
          <w:p>
            <w:pPr>
              <w:rPr>
                <w:rFonts w:ascii="宋体" w:hAnsi="宋体"/>
                <w:b/>
                <w:bCs/>
                <w:color w:val="FF0000"/>
                <w:sz w:val="24"/>
                <w:szCs w:val="24"/>
              </w:rPr>
            </w:pPr>
            <w:r>
              <w:rPr>
                <w:rFonts w:hint="eastAsia" w:ascii="宋体" w:hAnsi="宋体"/>
                <w:b/>
                <w:bCs/>
                <w:sz w:val="24"/>
                <w:szCs w:val="21"/>
              </w:rPr>
              <w:t>标书下载：投标人自行至宜兴市公用产业集团有限公司网站下载标书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18"/>
                <w:szCs w:val="18"/>
              </w:rPr>
              <w:t>6</w:t>
            </w:r>
          </w:p>
        </w:tc>
        <w:tc>
          <w:tcPr>
            <w:tcW w:w="8674" w:type="dxa"/>
            <w:noWrap w:val="0"/>
            <w:vAlign w:val="top"/>
          </w:tcPr>
          <w:p>
            <w:pPr>
              <w:spacing w:line="276" w:lineRule="auto"/>
              <w:rPr>
                <w:rFonts w:hint="eastAsia" w:ascii="宋体" w:hAnsi="宋体"/>
                <w:bCs/>
                <w:sz w:val="24"/>
                <w:szCs w:val="21"/>
              </w:rPr>
            </w:pPr>
            <w:r>
              <w:rPr>
                <w:rFonts w:hint="eastAsia" w:ascii="宋体" w:hAnsi="宋体"/>
                <w:bCs/>
                <w:sz w:val="24"/>
                <w:szCs w:val="21"/>
              </w:rPr>
              <w:t>投标截止时间及开标时间：</w:t>
            </w:r>
            <w:r>
              <w:rPr>
                <w:rFonts w:hint="eastAsia" w:ascii="宋体" w:hAnsi="宋体"/>
                <w:bCs/>
                <w:sz w:val="24"/>
                <w:szCs w:val="21"/>
                <w:highlight w:val="yellow"/>
              </w:rPr>
              <w:t>2022年1月5日14：</w:t>
            </w:r>
            <w:r>
              <w:rPr>
                <w:rFonts w:hint="eastAsia" w:ascii="宋体" w:hAnsi="宋体"/>
                <w:bCs/>
                <w:sz w:val="24"/>
                <w:szCs w:val="21"/>
              </w:rPr>
              <w:t>00</w:t>
            </w:r>
          </w:p>
          <w:p>
            <w:pPr>
              <w:spacing w:line="276" w:lineRule="auto"/>
              <w:rPr>
                <w:rFonts w:ascii="宋体" w:hAnsi="宋体"/>
                <w:bCs/>
                <w:sz w:val="24"/>
                <w:szCs w:val="21"/>
              </w:rPr>
            </w:pPr>
            <w:r>
              <w:rPr>
                <w:rFonts w:hint="eastAsia" w:ascii="宋体" w:hAnsi="宋体"/>
                <w:bCs/>
                <w:sz w:val="24"/>
                <w:szCs w:val="21"/>
              </w:rPr>
              <w:t>定标时间：评标结束后</w:t>
            </w:r>
          </w:p>
          <w:p>
            <w:pPr>
              <w:jc w:val="left"/>
              <w:rPr>
                <w:rFonts w:ascii="宋体" w:hAnsi="宋体"/>
                <w:sz w:val="24"/>
                <w:szCs w:val="24"/>
              </w:rPr>
            </w:pPr>
            <w:r>
              <w:rPr>
                <w:rFonts w:hint="eastAsia" w:ascii="宋体" w:hAnsi="宋体"/>
                <w:bCs/>
                <w:sz w:val="24"/>
                <w:szCs w:val="21"/>
              </w:rPr>
              <w:t>评标地点：宜兴市环科园绿园路528号孵化园二楼开标室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0"/>
            <w:vAlign w:val="center"/>
          </w:tcPr>
          <w:p>
            <w:pPr>
              <w:spacing w:line="480" w:lineRule="exact"/>
              <w:jc w:val="center"/>
              <w:rPr>
                <w:rFonts w:ascii="宋体" w:hAnsi="宋体"/>
                <w:bCs/>
                <w:sz w:val="18"/>
                <w:szCs w:val="18"/>
              </w:rPr>
            </w:pPr>
            <w:r>
              <w:rPr>
                <w:rFonts w:hint="eastAsia" w:ascii="宋体" w:hAnsi="宋体"/>
                <w:bCs/>
                <w:sz w:val="18"/>
                <w:szCs w:val="18"/>
              </w:rPr>
              <w:t>7</w:t>
            </w:r>
          </w:p>
        </w:tc>
        <w:tc>
          <w:tcPr>
            <w:tcW w:w="8674" w:type="dxa"/>
            <w:noWrap w:val="0"/>
            <w:vAlign w:val="top"/>
          </w:tcPr>
          <w:p>
            <w:pPr>
              <w:rPr>
                <w:rFonts w:ascii="宋体" w:hAnsi="宋体"/>
                <w:bCs/>
                <w:sz w:val="24"/>
                <w:szCs w:val="21"/>
              </w:rPr>
            </w:pPr>
            <w:r>
              <w:rPr>
                <w:rFonts w:hint="eastAsia" w:ascii="宋体" w:hAnsi="宋体"/>
                <w:bCs/>
                <w:sz w:val="24"/>
                <w:szCs w:val="21"/>
              </w:rPr>
              <w:t>采购人：</w:t>
            </w:r>
            <w:r>
              <w:rPr>
                <w:rFonts w:hint="eastAsia" w:ascii="宋体" w:hAnsi="宋体"/>
                <w:color w:val="000000"/>
                <w:sz w:val="24"/>
                <w:szCs w:val="24"/>
              </w:rPr>
              <w:t>宜兴水务集团有限公司</w:t>
            </w:r>
          </w:p>
          <w:p>
            <w:pPr>
              <w:rPr>
                <w:rFonts w:ascii="宋体" w:hAnsi="宋体"/>
                <w:bCs/>
                <w:sz w:val="24"/>
                <w:szCs w:val="21"/>
              </w:rPr>
            </w:pPr>
            <w:r>
              <w:rPr>
                <w:rFonts w:hint="eastAsia" w:ascii="宋体" w:hAnsi="宋体"/>
                <w:bCs/>
                <w:sz w:val="24"/>
                <w:szCs w:val="21"/>
              </w:rPr>
              <w:t>联系人：赵女士、刘先生</w:t>
            </w:r>
          </w:p>
          <w:p>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80718885</w:t>
            </w:r>
          </w:p>
          <w:p>
            <w:pPr>
              <w:rPr>
                <w:rFonts w:ascii="宋体" w:hAnsi="宋体"/>
                <w:bCs/>
                <w:sz w:val="24"/>
                <w:szCs w:val="21"/>
              </w:rPr>
            </w:pPr>
            <w:r>
              <w:rPr>
                <w:rFonts w:hint="eastAsia" w:ascii="宋体" w:hAnsi="宋体"/>
                <w:bCs/>
                <w:sz w:val="24"/>
                <w:szCs w:val="21"/>
              </w:rPr>
              <w:t>联系地址：宜兴市环科园绿园路528号</w:t>
            </w:r>
          </w:p>
          <w:p>
            <w:pPr>
              <w:rPr>
                <w:rFonts w:ascii="宋体" w:hAnsi="宋体"/>
                <w:bCs/>
                <w:sz w:val="24"/>
                <w:szCs w:val="24"/>
                <w:lang w:val="zh-CN"/>
              </w:rPr>
            </w:pPr>
            <w:r>
              <w:rPr>
                <w:rFonts w:hint="eastAsia" w:ascii="宋体" w:hAnsi="宋体"/>
                <w:bCs/>
                <w:sz w:val="24"/>
                <w:szCs w:val="21"/>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959" w:type="dxa"/>
            <w:noWrap w:val="0"/>
            <w:vAlign w:val="center"/>
          </w:tcPr>
          <w:p>
            <w:pPr>
              <w:spacing w:line="480" w:lineRule="exact"/>
              <w:jc w:val="center"/>
              <w:rPr>
                <w:rFonts w:hint="eastAsia" w:ascii="宋体" w:hAnsi="宋体"/>
                <w:bCs/>
                <w:sz w:val="18"/>
                <w:szCs w:val="18"/>
              </w:rPr>
            </w:pPr>
            <w:bookmarkStart w:id="4" w:name="OLE_LINK84" w:colFirst="1" w:colLast="2"/>
            <w:r>
              <w:rPr>
                <w:rFonts w:hint="eastAsia" w:ascii="宋体" w:hAnsi="宋体"/>
                <w:bCs/>
                <w:sz w:val="18"/>
                <w:szCs w:val="18"/>
              </w:rPr>
              <w:t>8</w:t>
            </w:r>
          </w:p>
        </w:tc>
        <w:tc>
          <w:tcPr>
            <w:tcW w:w="8674" w:type="dxa"/>
            <w:noWrap w:val="0"/>
            <w:vAlign w:val="top"/>
          </w:tcPr>
          <w:p>
            <w:pPr>
              <w:pStyle w:val="290"/>
            </w:pPr>
            <w:bookmarkStart w:id="5" w:name="OLE_LINK49"/>
            <w:bookmarkStart w:id="6" w:name="OLE_LINK138"/>
            <w:r>
              <w:rPr>
                <w:rFonts w:hint="eastAsia"/>
              </w:rPr>
              <w:t>采购人根据项目的实际情况，要求投标人在投标前须交纳投标保证金</w:t>
            </w:r>
            <w:r>
              <w:rPr>
                <w:rFonts w:hint="eastAsia"/>
                <w:u w:val="single"/>
              </w:rPr>
              <w:t>贰仟元</w:t>
            </w:r>
            <w:r>
              <w:rPr>
                <w:rFonts w:hint="eastAsia"/>
              </w:rPr>
              <w:t>人民币。</w:t>
            </w:r>
          </w:p>
          <w:bookmarkEnd w:id="5"/>
          <w:p>
            <w:pPr>
              <w:pStyle w:val="290"/>
            </w:pPr>
            <w:r>
              <w:rPr>
                <w:rFonts w:hint="eastAsia"/>
              </w:rPr>
              <w:t>交纳投标保证金的单位名称必须与参加投标的投标人名称一致，且</w:t>
            </w:r>
            <w:r>
              <w:rPr>
                <w:rFonts w:hint="eastAsia" w:hAnsi="宋体"/>
                <w:bCs/>
                <w:kern w:val="2"/>
                <w:szCs w:val="24"/>
              </w:rPr>
              <w:t>在投标截止时间前到达以下指定账户</w:t>
            </w:r>
            <w:bookmarkEnd w:id="6"/>
            <w:r>
              <w:rPr>
                <w:rFonts w:hint="eastAsia" w:hAnsi="宋体"/>
                <w:bCs/>
                <w:kern w:val="2"/>
                <w:szCs w:val="24"/>
              </w:rPr>
              <w:t>：</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76"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349" w:type="dxa"/>
                  <w:noWrap w:val="0"/>
                  <w:vAlign w:val="center"/>
                </w:tcPr>
                <w:p>
                  <w:pPr>
                    <w:jc w:val="center"/>
                    <w:rPr>
                      <w:rFonts w:hAnsi="宋体"/>
                      <w:bCs/>
                      <w:szCs w:val="21"/>
                      <w:lang w:val="zh-CN"/>
                    </w:rPr>
                  </w:pPr>
                  <w:r>
                    <w:rPr>
                      <w:rFonts w:hint="eastAsia" w:ascii="宋体" w:hAnsi="宋体"/>
                      <w:bCs/>
                      <w:sz w:val="24"/>
                      <w:szCs w:val="21"/>
                    </w:rPr>
                    <w:t>宜兴市公用产业集团有限公司</w:t>
                  </w:r>
                </w:p>
              </w:tc>
              <w:tc>
                <w:tcPr>
                  <w:tcW w:w="1084" w:type="dxa"/>
                  <w:vMerge w:val="restart"/>
                  <w:noWrap w:val="0"/>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noWrap w:val="0"/>
                  <w:vAlign w:val="center"/>
                </w:tcPr>
                <w:p>
                  <w:pPr>
                    <w:jc w:val="center"/>
                    <w:rPr>
                      <w:rFonts w:hAnsi="宋体"/>
                      <w:bCs/>
                      <w:szCs w:val="21"/>
                      <w:lang w:val="zh-CN"/>
                    </w:rPr>
                  </w:pPr>
                  <w:r>
                    <w:rPr>
                      <w:rFonts w:hint="eastAsia"/>
                      <w:szCs w:val="21"/>
                    </w:rPr>
                    <w:t>现金转账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66"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开户银行</w:t>
                  </w:r>
                </w:p>
              </w:tc>
              <w:tc>
                <w:tcPr>
                  <w:tcW w:w="3349" w:type="dxa"/>
                  <w:noWrap w:val="0"/>
                  <w:vAlign w:val="center"/>
                </w:tcPr>
                <w:p>
                  <w:pPr>
                    <w:jc w:val="center"/>
                    <w:rPr>
                      <w:rFonts w:ascii="宋体" w:hAnsi="宋体"/>
                      <w:bCs/>
                      <w:sz w:val="24"/>
                      <w:szCs w:val="21"/>
                      <w:lang w:val="zh-CN"/>
                    </w:rPr>
                  </w:pPr>
                  <w:r>
                    <w:rPr>
                      <w:rFonts w:ascii="宋体" w:hAnsi="宋体"/>
                      <w:bCs/>
                      <w:sz w:val="24"/>
                      <w:szCs w:val="21"/>
                      <w:lang w:val="zh-CN"/>
                    </w:rPr>
                    <w:t>光大银行宜兴支行</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9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3349" w:type="dxa"/>
                  <w:noWrap w:val="0"/>
                  <w:vAlign w:val="center"/>
                </w:tcPr>
                <w:p>
                  <w:pPr>
                    <w:jc w:val="center"/>
                    <w:rPr>
                      <w:rFonts w:ascii="宋体" w:hAnsi="宋体"/>
                      <w:bCs/>
                      <w:sz w:val="24"/>
                      <w:szCs w:val="21"/>
                      <w:lang w:val="zh-CN"/>
                    </w:rPr>
                  </w:pPr>
                  <w:r>
                    <w:rPr>
                      <w:rFonts w:ascii="宋体" w:hAnsi="宋体"/>
                      <w:bCs/>
                      <w:sz w:val="24"/>
                      <w:szCs w:val="21"/>
                      <w:lang w:val="zh-CN"/>
                    </w:rPr>
                    <w:t>10010188000017548</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rFonts w:hAnsi="宋体"/>
                      <w:bCs/>
                      <w:szCs w:val="21"/>
                      <w:lang w:val="zh-CN"/>
                    </w:rPr>
                  </w:pPr>
                </w:p>
              </w:tc>
            </w:tr>
          </w:tbl>
          <w:p>
            <w:pPr>
              <w:jc w:val="left"/>
              <w:rPr>
                <w:rFonts w:ascii="仿宋" w:hAnsi="仿宋" w:eastAsia="仿宋"/>
                <w:b/>
                <w:bCs/>
                <w:color w:val="FF0000"/>
                <w:sz w:val="32"/>
                <w:szCs w:val="32"/>
              </w:rPr>
            </w:pPr>
            <w:r>
              <w:rPr>
                <w:rFonts w:hint="eastAsia" w:ascii="仿宋" w:hAnsi="仿宋" w:eastAsia="仿宋" w:cs="宋体"/>
                <w:b/>
                <w:color w:val="FF0000"/>
                <w:sz w:val="32"/>
                <w:szCs w:val="32"/>
              </w:rPr>
              <w:t>注：缴纳投标保证金账户为涉密账户，请投标单位仔细核对账号后缴纳投标保证金，</w:t>
            </w:r>
            <w:r>
              <w:rPr>
                <w:rFonts w:hint="eastAsia" w:ascii="仿宋" w:hAnsi="仿宋" w:eastAsia="仿宋"/>
                <w:b/>
                <w:color w:val="FF0000"/>
                <w:sz w:val="32"/>
                <w:szCs w:val="32"/>
              </w:rPr>
              <w:t>否则作废标处理，</w:t>
            </w:r>
            <w:r>
              <w:rPr>
                <w:rFonts w:hint="eastAsia" w:ascii="仿宋" w:hAnsi="仿宋" w:eastAsia="仿宋" w:cs="宋体"/>
                <w:b/>
                <w:color w:val="FF0000"/>
                <w:sz w:val="32"/>
                <w:szCs w:val="32"/>
              </w:rPr>
              <w:t>合同签订后，退回。</w:t>
            </w:r>
          </w:p>
        </w:tc>
      </w:tr>
      <w:bookmarkEnd w:id="4"/>
    </w:tbl>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jc w:val="center"/>
        <w:outlineLvl w:val="0"/>
        <w:rPr>
          <w:rFonts w:ascii="黑体" w:hAnsi="黑体" w:eastAsia="黑体"/>
          <w:sz w:val="32"/>
          <w:szCs w:val="32"/>
        </w:rPr>
      </w:pPr>
    </w:p>
    <w:p>
      <w:pPr>
        <w:widowControl/>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二 投标人须知</w:t>
      </w: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宜兴水务集团有限公司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spacing w:line="360" w:lineRule="auto"/>
        <w:ind w:firstLine="480" w:firstLineChars="200"/>
        <w:rPr>
          <w:rFonts w:ascii="宋体" w:hAnsi="宋体"/>
          <w:bCs/>
          <w:sz w:val="24"/>
        </w:rPr>
      </w:pPr>
      <w:bookmarkStart w:id="7" w:name="OLE_LINK90"/>
      <w:r>
        <w:rPr>
          <w:rFonts w:hint="eastAsia" w:ascii="宋体" w:hAnsi="宋体"/>
          <w:bCs/>
          <w:sz w:val="24"/>
        </w:rPr>
        <w:t xml:space="preserve">5.1 </w:t>
      </w:r>
      <w:bookmarkStart w:id="8" w:name="OLE_LINK109"/>
      <w:r>
        <w:rPr>
          <w:rFonts w:hint="eastAsia" w:ascii="宋体" w:hAnsi="宋体"/>
          <w:bCs/>
          <w:sz w:val="24"/>
        </w:rPr>
        <w:t>本文件由</w:t>
      </w:r>
      <w:bookmarkStart w:id="9" w:name="OLE_LINK13"/>
      <w:r>
        <w:rPr>
          <w:rFonts w:hint="eastAsia" w:ascii="宋体" w:hAnsi="宋体"/>
          <w:bCs/>
          <w:sz w:val="24"/>
        </w:rPr>
        <w:t>宜兴水务集团有限公司负责解释</w:t>
      </w:r>
      <w:bookmarkEnd w:id="9"/>
      <w:r>
        <w:rPr>
          <w:rFonts w:hint="eastAsia" w:ascii="宋体" w:hAnsi="宋体"/>
          <w:bCs/>
          <w:sz w:val="24"/>
        </w:rPr>
        <w:t>。</w:t>
      </w:r>
      <w:bookmarkEnd w:id="8"/>
    </w:p>
    <w:bookmarkEnd w:id="7"/>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pPr>
        <w:spacing w:line="360" w:lineRule="auto"/>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4" w:name="OLE_LINK16"/>
      <w:bookmarkStart w:id="15" w:name="OLE_LINK21"/>
      <w:bookmarkStart w:id="16" w:name="OLE_LINK62"/>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spacing w:line="360" w:lineRule="auto"/>
        <w:ind w:left="480"/>
        <w:rPr>
          <w:rFonts w:ascii="宋体" w:hAnsi="宋体"/>
          <w:sz w:val="24"/>
          <w:szCs w:val="21"/>
          <w:lang w:val="zh-CN"/>
        </w:rPr>
      </w:pPr>
      <w:r>
        <w:rPr>
          <w:rFonts w:hint="eastAsia" w:ascii="宋体" w:hAnsi="宋体"/>
          <w:sz w:val="24"/>
          <w:szCs w:val="21"/>
          <w:lang w:val="zh-CN"/>
        </w:rPr>
        <w:t xml:space="preserve"> 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5"/>
        </w:numPr>
        <w:tabs>
          <w:tab w:val="left" w:pos="0"/>
          <w:tab w:val="left" w:pos="255"/>
        </w:tabs>
        <w:spacing w:line="360" w:lineRule="auto"/>
        <w:ind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投标人法定代表人授权委托书原件及被授权代表的身份证复印件（法定代表人亲自参加的除外）；</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w:t>
      </w:r>
    </w:p>
    <w:bookmarkEnd w:id="20"/>
    <w:p>
      <w:pPr>
        <w:numPr>
          <w:ilvl w:val="0"/>
          <w:numId w:val="15"/>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w:t>
      </w:r>
      <w:bookmarkStart w:id="21" w:name="OLE_LINK181"/>
      <w:r>
        <w:rPr>
          <w:rFonts w:hint="eastAsia" w:ascii="宋体" w:hAnsi="宋体"/>
          <w:sz w:val="24"/>
          <w:szCs w:val="24"/>
        </w:rPr>
        <w:t>近十二个月</w:t>
      </w:r>
      <w:bookmarkEnd w:id="21"/>
      <w:r>
        <w:rPr>
          <w:rFonts w:hint="eastAsia" w:ascii="宋体" w:hAnsi="宋体"/>
          <w:sz w:val="24"/>
          <w:szCs w:val="24"/>
        </w:rPr>
        <w:t>中任意一个月份税收的相关材料（提供相关主管部门证明或银行代扣证明）；</w:t>
      </w:r>
    </w:p>
    <w:p>
      <w:pPr>
        <w:numPr>
          <w:ilvl w:val="0"/>
          <w:numId w:val="15"/>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w:t>
      </w:r>
    </w:p>
    <w:p>
      <w:pPr>
        <w:pStyle w:val="2"/>
        <w:ind w:firstLine="600" w:firstLineChars="250"/>
        <w:rPr>
          <w:rFonts w:hint="eastAsia" w:ascii="宋体" w:hAnsi="宋体"/>
          <w:color w:val="000000"/>
          <w:lang w:eastAsia="zh-CN"/>
        </w:rPr>
      </w:pPr>
      <w:r>
        <w:rPr>
          <w:rFonts w:hint="eastAsia"/>
          <w:sz w:val="24"/>
          <w:szCs w:val="24"/>
          <w:lang w:val="en-US" w:eastAsia="zh-CN"/>
        </w:rPr>
        <w:t>⑥投标人</w:t>
      </w:r>
      <w:r>
        <w:rPr>
          <w:rFonts w:hint="eastAsia" w:ascii="宋体" w:hAnsi="宋体"/>
          <w:color w:val="000000"/>
          <w:sz w:val="24"/>
          <w:szCs w:val="24"/>
        </w:rPr>
        <w:t>ISO9001 质量管理体系认证、ISO14001 环境管理体系认证、</w:t>
      </w:r>
      <w:r>
        <w:rPr>
          <w:rFonts w:ascii="宋体" w:hAnsi="宋体"/>
          <w:color w:val="000000"/>
          <w:sz w:val="24"/>
          <w:szCs w:val="24"/>
        </w:rPr>
        <w:t>ISO45001</w:t>
      </w:r>
      <w:r>
        <w:rPr>
          <w:rFonts w:hint="eastAsia" w:ascii="宋体" w:hAnsi="宋体"/>
          <w:color w:val="000000"/>
          <w:sz w:val="24"/>
          <w:szCs w:val="24"/>
        </w:rPr>
        <w:t>职业健康安全管理体系认证证书</w:t>
      </w:r>
      <w:r>
        <w:rPr>
          <w:rFonts w:hint="eastAsia" w:ascii="宋体" w:hAnsi="宋体"/>
          <w:color w:val="000000"/>
        </w:rPr>
        <w:t>（清晰扫描件）</w:t>
      </w:r>
    </w:p>
    <w:p>
      <w:pPr>
        <w:pStyle w:val="2"/>
        <w:ind w:firstLine="525" w:firstLineChars="250"/>
        <w:rPr>
          <w:rFonts w:hint="eastAsia"/>
          <w:sz w:val="24"/>
          <w:szCs w:val="24"/>
          <w:lang w:val="en-US" w:eastAsia="zh-CN"/>
        </w:rPr>
      </w:pPr>
      <w:r>
        <w:rPr>
          <w:rFonts w:hint="eastAsia" w:ascii="宋体" w:hAnsi="宋体"/>
          <w:color w:val="000000"/>
          <w:lang w:eastAsia="zh-CN"/>
        </w:rPr>
        <w:t>⑦</w:t>
      </w:r>
      <w:r>
        <w:rPr>
          <w:rFonts w:hint="eastAsia"/>
          <w:sz w:val="24"/>
          <w:szCs w:val="24"/>
        </w:rPr>
        <w:t>投标产品清晰彩照、产品参数说明书等相关资料</w:t>
      </w:r>
    </w:p>
    <w:p>
      <w:pPr>
        <w:tabs>
          <w:tab w:val="left" w:pos="0"/>
          <w:tab w:val="left" w:pos="255"/>
        </w:tabs>
        <w:spacing w:line="360" w:lineRule="auto"/>
        <w:ind w:left="284"/>
        <w:rPr>
          <w:rFonts w:ascii="宋体" w:hAnsi="宋体"/>
          <w:sz w:val="24"/>
        </w:rPr>
      </w:pPr>
      <w:bookmarkStart w:id="22" w:name="OLE_LINK115"/>
      <w:r>
        <w:rPr>
          <w:rFonts w:hint="eastAsia" w:ascii="宋体" w:hAnsi="宋体"/>
          <w:sz w:val="24"/>
          <w:szCs w:val="24"/>
        </w:rPr>
        <w:t>（4）招标文件 “项目技</w:t>
      </w:r>
      <w:r>
        <w:rPr>
          <w:rFonts w:hint="eastAsia" w:ascii="宋体" w:hAnsi="宋体"/>
          <w:sz w:val="24"/>
        </w:rPr>
        <w:t>术要求和有关说明”中要求提供的相关证明材料（如有自行添加）</w:t>
      </w:r>
      <w:bookmarkEnd w:id="22"/>
    </w:p>
    <w:p>
      <w:pPr>
        <w:tabs>
          <w:tab w:val="left" w:pos="0"/>
        </w:tabs>
        <w:spacing w:line="360" w:lineRule="auto"/>
        <w:ind w:left="284"/>
        <w:rPr>
          <w:rFonts w:ascii="宋体" w:hAnsi="宋体"/>
          <w:sz w:val="24"/>
          <w:lang w:val="zh-CN"/>
        </w:rPr>
      </w:pPr>
      <w:r>
        <w:rPr>
          <w:rFonts w:hint="eastAsia" w:ascii="宋体" w:hAnsi="宋体"/>
          <w:sz w:val="24"/>
        </w:rPr>
        <w:t>（5）要求采购人提供的配合（如有自拟并自行添加）</w:t>
      </w:r>
    </w:p>
    <w:p>
      <w:pPr>
        <w:tabs>
          <w:tab w:val="left" w:pos="0"/>
          <w:tab w:val="left" w:pos="255"/>
        </w:tabs>
        <w:spacing w:line="360" w:lineRule="auto"/>
        <w:ind w:left="284"/>
        <w:rPr>
          <w:rFonts w:ascii="宋体" w:hAnsi="宋体"/>
          <w:bCs/>
          <w:sz w:val="24"/>
          <w:lang w:val="zh-CN"/>
        </w:rPr>
      </w:pPr>
      <w:bookmarkStart w:id="23" w:name="OLE_LINK116"/>
      <w:r>
        <w:rPr>
          <w:rFonts w:hint="eastAsia" w:ascii="宋体" w:hAnsi="宋体"/>
          <w:sz w:val="24"/>
          <w:lang w:val="zh-CN"/>
        </w:rPr>
        <w:t>（6）其他（投标人认为有必要提供的声明和文件，</w:t>
      </w:r>
      <w:r>
        <w:rPr>
          <w:rFonts w:hint="eastAsia" w:ascii="宋体" w:hAnsi="宋体"/>
          <w:sz w:val="24"/>
        </w:rPr>
        <w:t>如有自拟并自行添加）</w:t>
      </w:r>
      <w:bookmarkEnd w:id="18"/>
      <w:bookmarkEnd w:id="23"/>
    </w:p>
    <w:bookmarkEnd w:id="15"/>
    <w:bookmarkEnd w:id="16"/>
    <w:p>
      <w:pPr>
        <w:spacing w:line="360" w:lineRule="auto"/>
        <w:jc w:val="left"/>
        <w:rPr>
          <w:rFonts w:ascii="宋体" w:hAnsi="宋体"/>
          <w:bCs/>
          <w:sz w:val="24"/>
        </w:rPr>
      </w:pPr>
      <w:bookmarkStart w:id="24" w:name="OLE_LINK92"/>
      <w:r>
        <w:rPr>
          <w:rFonts w:hint="eastAsia" w:ascii="宋体" w:hAnsi="宋体"/>
          <w:b/>
          <w:sz w:val="24"/>
        </w:rPr>
        <w:t xml:space="preserve">    上述（1）-</w:t>
      </w:r>
      <w:r>
        <w:rPr>
          <w:rFonts w:hint="eastAsia" w:ascii="仿宋" w:hAnsi="仿宋" w:eastAsia="仿宋"/>
          <w:b/>
          <w:sz w:val="24"/>
        </w:rPr>
        <w:t>（4）</w:t>
      </w:r>
      <w:r>
        <w:rPr>
          <w:rFonts w:hint="eastAsia" w:ascii="宋体" w:hAnsi="宋体"/>
          <w:b/>
          <w:sz w:val="24"/>
        </w:rPr>
        <w:t>项投标人必须按要求全部提供，否则投标无效。投标人</w:t>
      </w:r>
      <w:bookmarkStart w:id="25" w:name="OLE_LINK117"/>
      <w:r>
        <w:rPr>
          <w:rFonts w:hint="eastAsia" w:ascii="宋体" w:hAnsi="宋体"/>
          <w:b/>
          <w:sz w:val="24"/>
        </w:rPr>
        <w:t>应在提交投标文件截止时间之前将相关原件或公证件与投标文件一并提交。</w:t>
      </w:r>
      <w:bookmarkEnd w:id="25"/>
      <w:r>
        <w:rPr>
          <w:rFonts w:hint="eastAsia" w:ascii="宋体" w:hAnsi="宋体"/>
          <w:bCs/>
          <w:sz w:val="24"/>
        </w:rPr>
        <w:t>如上述证明文件遇年检、换证，则必须提供法定年检、换证单位出具的有效证明复印件，原件一并提交</w:t>
      </w:r>
      <w:bookmarkStart w:id="26" w:name="OLE_LINK118"/>
      <w:r>
        <w:rPr>
          <w:rFonts w:hint="eastAsia" w:ascii="宋体" w:hAnsi="宋体"/>
          <w:bCs/>
          <w:sz w:val="24"/>
        </w:rPr>
        <w:t>。</w:t>
      </w:r>
      <w:bookmarkEnd w:id="26"/>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pPr>
        <w:spacing w:line="360" w:lineRule="auto"/>
        <w:ind w:firstLine="482" w:firstLineChars="200"/>
        <w:rPr>
          <w:rFonts w:ascii="宋体" w:hAnsi="宋体"/>
          <w:b/>
          <w:sz w:val="24"/>
        </w:rPr>
      </w:pPr>
      <w:bookmarkStart w:id="27" w:name="OLE_LINK93"/>
      <w:bookmarkStart w:id="28"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29" w:name="OLE_LINK119"/>
      <w:r>
        <w:rPr>
          <w:rFonts w:hint="eastAsia" w:ascii="宋体" w:hAnsi="宋体"/>
          <w:bCs/>
          <w:sz w:val="24"/>
          <w:lang w:val="zh-CN"/>
        </w:rPr>
        <w:t>否则投标文件无效</w:t>
      </w:r>
      <w:r>
        <w:rPr>
          <w:rFonts w:hint="eastAsia" w:ascii="宋体" w:hAnsi="宋体"/>
          <w:bCs/>
          <w:sz w:val="24"/>
        </w:rPr>
        <w:t>。</w:t>
      </w:r>
      <w:bookmarkEnd w:id="29"/>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0" w:name="OLE_LINK120"/>
      <w:bookmarkStart w:id="31" w:name="OLE_LINK121"/>
      <w:r>
        <w:rPr>
          <w:rFonts w:hint="eastAsia" w:ascii="宋体" w:hAnsi="宋体"/>
          <w:sz w:val="24"/>
          <w:szCs w:val="28"/>
        </w:rPr>
        <w:t>不应有涂改、增删和潦草之处，如有必须修改时，修改处须有投标人公章和法定代表人或被授权代表人签字</w:t>
      </w:r>
      <w:bookmarkEnd w:id="30"/>
      <w:r>
        <w:rPr>
          <w:rFonts w:hint="eastAsia" w:ascii="宋体" w:hAnsi="宋体"/>
          <w:sz w:val="24"/>
          <w:szCs w:val="28"/>
        </w:rPr>
        <w:t>。</w:t>
      </w:r>
      <w:bookmarkEnd w:id="31"/>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2" w:name="OLE_LINK122"/>
      <w:r>
        <w:rPr>
          <w:rFonts w:hint="eastAsia" w:ascii="宋体" w:hAnsi="宋体"/>
          <w:bCs/>
          <w:sz w:val="24"/>
          <w:lang w:val="zh-CN"/>
        </w:rPr>
        <w:t>规格幅面打印、装订成册，</w:t>
      </w:r>
      <w:bookmarkEnd w:id="32"/>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3" w:name="OLE_LINK123"/>
      <w:r>
        <w:rPr>
          <w:rFonts w:hint="eastAsia" w:ascii="宋体" w:hAnsi="宋体"/>
          <w:bCs/>
          <w:sz w:val="24"/>
        </w:rPr>
        <w:t>投标人应该将投标文件密封，同时注明投标人名称。</w:t>
      </w:r>
      <w:bookmarkEnd w:id="27"/>
      <w:bookmarkEnd w:id="33"/>
    </w:p>
    <w:p>
      <w:pPr>
        <w:spacing w:line="360" w:lineRule="auto"/>
        <w:ind w:firstLine="482" w:firstLineChars="200"/>
        <w:rPr>
          <w:rFonts w:ascii="宋体" w:hAnsi="宋体"/>
          <w:b/>
          <w:sz w:val="24"/>
        </w:rPr>
      </w:pPr>
      <w:bookmarkStart w:id="34"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5" w:name="OLE_LINK45"/>
      <w:r>
        <w:rPr>
          <w:rFonts w:hint="eastAsia" w:ascii="宋体" w:hAnsi="宋体"/>
          <w:sz w:val="24"/>
          <w:szCs w:val="28"/>
        </w:rPr>
        <w:t>采购人、</w:t>
      </w:r>
      <w:bookmarkEnd w:id="35"/>
      <w:bookmarkStart w:id="36" w:name="OLE_LINK53"/>
      <w:r>
        <w:rPr>
          <w:rFonts w:hint="eastAsia" w:ascii="宋体" w:hAnsi="宋体"/>
          <w:sz w:val="24"/>
          <w:szCs w:val="28"/>
        </w:rPr>
        <w:t>采购代理机构</w:t>
      </w:r>
      <w:bookmarkEnd w:id="36"/>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投标人须在招标文件规定的提交投标文件截止时间之前到宜兴水务集团有限公司提交投标文件，逾期不予受理。</w:t>
      </w:r>
    </w:p>
    <w:p>
      <w:pPr>
        <w:spacing w:line="360" w:lineRule="auto"/>
        <w:ind w:firstLine="472" w:firstLineChars="196"/>
        <w:rPr>
          <w:rFonts w:ascii="宋体" w:hAnsi="宋体"/>
          <w:b/>
          <w:sz w:val="24"/>
        </w:rPr>
      </w:pPr>
      <w:bookmarkStart w:id="37" w:name="OLE_LINK124"/>
      <w:r>
        <w:rPr>
          <w:rFonts w:hint="eastAsia" w:ascii="宋体" w:hAnsi="宋体"/>
          <w:b/>
          <w:sz w:val="24"/>
        </w:rPr>
        <w:t>11、有下列情形之一的投标文件将拒收</w:t>
      </w:r>
    </w:p>
    <w:p>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4"/>
    </w:p>
    <w:bookmarkEnd w:id="37"/>
    <w:p>
      <w:pPr>
        <w:spacing w:line="360" w:lineRule="auto"/>
        <w:ind w:firstLine="482" w:firstLineChars="200"/>
        <w:rPr>
          <w:rFonts w:ascii="宋体" w:hAnsi="宋体"/>
          <w:b/>
          <w:sz w:val="24"/>
        </w:rPr>
      </w:pPr>
      <w:bookmarkStart w:id="38" w:name="OLE_LINK95"/>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投标人投标后，宜兴水务集团有限公司对所有投标人的投标文件一律不予退还。</w:t>
      </w:r>
    </w:p>
    <w:p>
      <w:pPr>
        <w:spacing w:line="360" w:lineRule="auto"/>
        <w:ind w:firstLine="482" w:firstLineChars="200"/>
        <w:rPr>
          <w:rFonts w:ascii="宋体" w:hAnsi="宋体"/>
          <w:b/>
          <w:sz w:val="24"/>
        </w:rPr>
      </w:pPr>
      <w:bookmarkStart w:id="39"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宜兴水务集团有限公司</w:t>
      </w:r>
      <w:r>
        <w:rPr>
          <w:rFonts w:hint="eastAsia" w:ascii="宋体" w:hAnsi="宋体"/>
          <w:bCs/>
          <w:sz w:val="24"/>
          <w:lang w:val="zh-CN"/>
        </w:rPr>
        <w:t>。补充、修改的内容应当按照招标文件要求签署、盖章、密封后，并作为投标文件的组成部分。</w:t>
      </w:r>
      <w:bookmarkEnd w:id="28"/>
      <w:bookmarkEnd w:id="39"/>
      <w:bookmarkStart w:id="40"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6"/>
        </w:numPr>
        <w:tabs>
          <w:tab w:val="left" w:pos="425"/>
        </w:tabs>
        <w:spacing w:line="360" w:lineRule="auto"/>
        <w:rPr>
          <w:rFonts w:ascii="宋体" w:hAnsi="宋体"/>
          <w:bCs/>
          <w:sz w:val="24"/>
          <w:lang w:val="zh-CN"/>
        </w:rPr>
      </w:pPr>
      <w:bookmarkStart w:id="41"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6"/>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6"/>
        </w:numPr>
        <w:tabs>
          <w:tab w:val="left" w:pos="425"/>
        </w:tabs>
        <w:spacing w:line="360" w:lineRule="auto"/>
        <w:rPr>
          <w:rFonts w:ascii="宋体" w:hAnsi="宋体"/>
          <w:bCs/>
          <w:sz w:val="24"/>
          <w:lang w:val="zh-CN"/>
        </w:rPr>
      </w:pPr>
      <w:bookmarkStart w:id="42"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2"/>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8"/>
      <w:bookmarkEnd w:id="40"/>
      <w:bookmarkEnd w:id="41"/>
    </w:p>
    <w:p>
      <w:pPr>
        <w:numPr>
          <w:ilvl w:val="0"/>
          <w:numId w:val="18"/>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3" w:name="OLE_LINK96"/>
      <w:r>
        <w:rPr>
          <w:rFonts w:hint="eastAsia" w:ascii="宋体" w:hAnsi="宋体"/>
          <w:bCs/>
          <w:sz w:val="24"/>
        </w:rPr>
        <w:t>16.1、本项目不接受联合体、中标后分包。</w:t>
      </w:r>
    </w:p>
    <w:bookmarkEnd w:id="43"/>
    <w:p>
      <w:pPr>
        <w:numPr>
          <w:ilvl w:val="0"/>
          <w:numId w:val="18"/>
        </w:numPr>
        <w:spacing w:line="360" w:lineRule="auto"/>
        <w:ind w:firstLine="482" w:firstLineChars="200"/>
        <w:rPr>
          <w:rFonts w:ascii="宋体" w:hAnsi="宋体"/>
          <w:b/>
          <w:sz w:val="24"/>
          <w:lang w:val="zh-CN"/>
        </w:rPr>
      </w:pPr>
      <w:bookmarkStart w:id="44" w:name="OLE_LINK167"/>
      <w:bookmarkStart w:id="45" w:name="OLE_LINK97"/>
      <w:r>
        <w:rPr>
          <w:rFonts w:hint="eastAsia" w:ascii="宋体" w:hAnsi="宋体"/>
          <w:b/>
          <w:sz w:val="24"/>
          <w:lang w:val="zh-CN"/>
        </w:rPr>
        <w:t>开标、评标、定标、废标</w:t>
      </w:r>
      <w:bookmarkEnd w:id="44"/>
    </w:p>
    <w:p>
      <w:pPr>
        <w:spacing w:line="360" w:lineRule="auto"/>
        <w:ind w:firstLine="482" w:firstLineChars="200"/>
        <w:rPr>
          <w:rFonts w:ascii="宋体" w:hAnsi="宋体"/>
          <w:b/>
          <w:sz w:val="24"/>
        </w:rPr>
      </w:pPr>
      <w:bookmarkStart w:id="46" w:name="OLE_LINK168"/>
      <w:r>
        <w:rPr>
          <w:rFonts w:hint="eastAsia" w:ascii="宋体" w:hAnsi="宋体"/>
          <w:b/>
          <w:sz w:val="24"/>
        </w:rPr>
        <w:t>17、开标</w:t>
      </w:r>
    </w:p>
    <w:p>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宜兴市公用产业集团有限公司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7"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7"/>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8" w:name="OLE_LINK131"/>
      <w:bookmarkStart w:id="49"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8"/>
      <w:bookmarkStart w:id="50"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0"/>
      <w:r>
        <w:rPr>
          <w:rFonts w:hint="eastAsia" w:ascii="宋体" w:hAnsi="宋体"/>
          <w:bCs/>
          <w:sz w:val="24"/>
          <w:lang w:val="zh-CN"/>
        </w:rPr>
        <w:t>；若未进入评审环节，不需要做出认定</w:t>
      </w:r>
      <w:bookmarkEnd w:id="49"/>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1"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1"/>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2" w:name="OLE_LINK132"/>
      <w:r>
        <w:rPr>
          <w:rFonts w:hint="eastAsia" w:ascii="宋体" w:hAnsi="宋体"/>
          <w:bCs/>
          <w:sz w:val="24"/>
        </w:rPr>
        <w:t>4</w:t>
      </w:r>
      <w:r>
        <w:rPr>
          <w:rFonts w:hint="eastAsia" w:ascii="宋体" w:hAnsi="宋体"/>
          <w:b/>
          <w:sz w:val="24"/>
        </w:rPr>
        <w:t xml:space="preserve"> 澄清有关问题。</w:t>
      </w:r>
      <w:bookmarkEnd w:id="52"/>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3" w:name="OLE_LINK26"/>
      <w:r>
        <w:rPr>
          <w:rFonts w:hint="eastAsia" w:ascii="宋体" w:hAnsi="宋体" w:cs="宋体"/>
          <w:sz w:val="24"/>
        </w:rPr>
        <w:t>投标人的澄清、说明或者补正应当采用书面形式，并加盖公章，或者由法定代表人或其授权的代表签字</w:t>
      </w:r>
      <w:bookmarkEnd w:id="53"/>
      <w:r>
        <w:rPr>
          <w:rFonts w:hint="eastAsia" w:ascii="宋体" w:hAnsi="宋体" w:cs="宋体"/>
          <w:sz w:val="24"/>
        </w:rPr>
        <w:t>。投标人的澄清、说明或者补正不得超出投标文件的范围或者改变投标文件的实质性内容。</w:t>
      </w:r>
      <w:bookmarkStart w:id="54"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4"/>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5" w:name="OLE_LINK133"/>
      <w:r>
        <w:rPr>
          <w:rFonts w:hint="eastAsia" w:ascii="宋体" w:hAnsi="宋体"/>
          <w:b/>
          <w:sz w:val="24"/>
        </w:rPr>
        <w:t>评标方法和标准</w:t>
      </w:r>
      <w:r>
        <w:rPr>
          <w:rFonts w:hint="eastAsia" w:ascii="宋体" w:hAnsi="宋体"/>
          <w:bCs/>
          <w:sz w:val="24"/>
        </w:rPr>
        <w:t>。</w:t>
      </w:r>
      <w:bookmarkEnd w:id="55"/>
      <w:r>
        <w:rPr>
          <w:rFonts w:hint="eastAsia" w:ascii="宋体" w:hAnsi="宋体"/>
          <w:bCs/>
          <w:sz w:val="24"/>
        </w:rPr>
        <w:t>本次招标采用最低评标价法。</w:t>
      </w:r>
    </w:p>
    <w:p>
      <w:pPr>
        <w:numPr>
          <w:ilvl w:val="0"/>
          <w:numId w:val="19"/>
        </w:numPr>
        <w:tabs>
          <w:tab w:val="left" w:pos="945"/>
        </w:tabs>
        <w:spacing w:line="360" w:lineRule="auto"/>
        <w:rPr>
          <w:rFonts w:ascii="宋体" w:hAnsi="宋体"/>
          <w:bCs/>
          <w:sz w:val="24"/>
        </w:rPr>
      </w:pPr>
      <w:r>
        <w:rPr>
          <w:rFonts w:hint="eastAsia" w:ascii="宋体" w:hAnsi="宋体"/>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pPr>
        <w:tabs>
          <w:tab w:val="left" w:pos="945"/>
        </w:tabs>
        <w:spacing w:line="360" w:lineRule="auto"/>
        <w:ind w:left="420"/>
        <w:rPr>
          <w:rFonts w:ascii="宋体" w:hAnsi="宋体"/>
          <w:bCs/>
          <w:sz w:val="24"/>
        </w:rPr>
      </w:pPr>
      <w:bookmarkStart w:id="56" w:name="OLE_LINK134"/>
      <w:r>
        <w:rPr>
          <w:rFonts w:hint="eastAsia" w:ascii="宋体" w:hAnsi="宋体"/>
          <w:bCs/>
          <w:sz w:val="24"/>
        </w:rPr>
        <w:t xml:space="preserve">     若投标报价相同的，则抽签决定顺序排列。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20"/>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20"/>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20"/>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20"/>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6"/>
    </w:p>
    <w:bookmarkEnd w:id="46"/>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7" w:name="OLE_LINK174"/>
      <w:r>
        <w:rPr>
          <w:rFonts w:hint="eastAsia" w:ascii="宋体" w:hAnsi="宋体"/>
          <w:bCs/>
          <w:sz w:val="24"/>
          <w:lang w:val="zh-CN"/>
        </w:rPr>
        <w:t>中标候选人</w:t>
      </w:r>
      <w:bookmarkEnd w:id="57"/>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8" w:name="OLE_LINK169"/>
      <w:r>
        <w:rPr>
          <w:rFonts w:hint="eastAsia" w:ascii="宋体" w:hAnsi="宋体"/>
          <w:b/>
          <w:sz w:val="24"/>
        </w:rPr>
        <w:t>20、投标截止后投标人不足3家的，除采购任务取消情形外，按照以下方式处理：</w:t>
      </w:r>
    </w:p>
    <w:p>
      <w:pPr>
        <w:numPr>
          <w:ilvl w:val="0"/>
          <w:numId w:val="21"/>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1"/>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2"/>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2"/>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2"/>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2"/>
        </w:numPr>
        <w:spacing w:line="360" w:lineRule="auto"/>
        <w:rPr>
          <w:rFonts w:ascii="宋体" w:hAnsi="宋体"/>
          <w:bCs/>
          <w:sz w:val="24"/>
          <w:lang w:val="zh-CN"/>
        </w:rPr>
      </w:pPr>
      <w:r>
        <w:rPr>
          <w:rFonts w:hint="eastAsia" w:ascii="宋体" w:hAnsi="宋体"/>
          <w:bCs/>
          <w:sz w:val="24"/>
          <w:lang w:val="zh-CN"/>
        </w:rPr>
        <w:t>因重大变故，采购任务取消。</w:t>
      </w:r>
      <w:bookmarkEnd w:id="58"/>
    </w:p>
    <w:p>
      <w:pPr>
        <w:numPr>
          <w:ilvl w:val="0"/>
          <w:numId w:val="18"/>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招标活动结束后，中标供应商的投标保证金在合同签订后的三十个工作日内无息退还；中标通知书发出后30个工作日内退还未中标供应商的投标保证金，不计利息。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3"/>
        </w:numPr>
        <w:spacing w:line="360" w:lineRule="auto"/>
        <w:rPr>
          <w:rFonts w:ascii="宋体" w:hAnsi="宋体"/>
          <w:bCs/>
          <w:sz w:val="24"/>
          <w:lang w:val="zh-CN"/>
        </w:rPr>
      </w:pPr>
      <w:bookmarkStart w:id="59" w:name="OLE_LINK170"/>
      <w:r>
        <w:rPr>
          <w:rFonts w:hint="eastAsia" w:ascii="宋体" w:hAnsi="宋体"/>
          <w:bCs/>
          <w:sz w:val="24"/>
          <w:lang w:val="zh-CN"/>
        </w:rPr>
        <w:t>在提交投标文件截止时间后撤回投标文件的；</w:t>
      </w:r>
    </w:p>
    <w:p>
      <w:pPr>
        <w:numPr>
          <w:ilvl w:val="0"/>
          <w:numId w:val="23"/>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3"/>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3"/>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3"/>
        </w:numPr>
        <w:spacing w:line="360" w:lineRule="auto"/>
        <w:rPr>
          <w:rFonts w:ascii="宋体" w:hAnsi="宋体"/>
          <w:bCs/>
          <w:sz w:val="24"/>
          <w:lang w:val="zh-CN"/>
        </w:rPr>
      </w:pPr>
      <w:r>
        <w:rPr>
          <w:rFonts w:hint="eastAsia" w:ascii="宋体" w:hAnsi="宋体"/>
          <w:bCs/>
          <w:sz w:val="24"/>
          <w:lang w:val="zh-CN"/>
        </w:rPr>
        <w:t>招标文件规定的其他情形。</w:t>
      </w:r>
      <w:bookmarkEnd w:id="59"/>
    </w:p>
    <w:bookmarkEnd w:id="45"/>
    <w:p>
      <w:pPr>
        <w:numPr>
          <w:ilvl w:val="0"/>
          <w:numId w:val="18"/>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60"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1"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2" w:name="OLE_LINK5"/>
      <w:r>
        <w:rPr>
          <w:rFonts w:hint="eastAsia" w:ascii="宋体" w:hAnsi="宋体"/>
          <w:bCs/>
          <w:sz w:val="24"/>
          <w:lang w:val="zh-CN"/>
        </w:rPr>
        <w:t>中标供应商</w:t>
      </w:r>
      <w:bookmarkStart w:id="63" w:name="OLE_LINK175"/>
      <w:r>
        <w:rPr>
          <w:rFonts w:hint="eastAsia" w:ascii="宋体" w:hAnsi="宋体"/>
          <w:bCs/>
          <w:sz w:val="24"/>
          <w:lang w:val="zh-CN"/>
        </w:rPr>
        <w:t>（含中标候选人）</w:t>
      </w:r>
      <w:bookmarkEnd w:id="63"/>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4" w:name="OLE_LINK2"/>
      <w:r>
        <w:rPr>
          <w:rFonts w:hint="eastAsia" w:ascii="宋体" w:hAnsi="宋体"/>
          <w:bCs/>
          <w:sz w:val="24"/>
          <w:lang w:val="zh-CN"/>
        </w:rPr>
        <w:t>。</w:t>
      </w:r>
      <w:bookmarkEnd w:id="62"/>
      <w:bookmarkEnd w:id="64"/>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pPr>
        <w:numPr>
          <w:ilvl w:val="0"/>
          <w:numId w:val="18"/>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4"/>
        </w:numPr>
        <w:spacing w:line="360" w:lineRule="auto"/>
        <w:rPr>
          <w:rFonts w:ascii="宋体" w:hAnsi="宋体"/>
          <w:bCs/>
          <w:sz w:val="24"/>
          <w:lang w:val="zh-CN"/>
        </w:rPr>
      </w:pPr>
      <w:bookmarkStart w:id="66" w:name="OLE_LINK99"/>
      <w:r>
        <w:rPr>
          <w:rFonts w:hint="eastAsia" w:ascii="宋体" w:hAnsi="宋体"/>
          <w:bCs/>
          <w:sz w:val="24"/>
          <w:lang w:val="zh-CN"/>
        </w:rPr>
        <w:t>投标人的投标行为必须遵守各项法律、法规、规章及相关制度的规定。</w:t>
      </w:r>
    </w:p>
    <w:p>
      <w:pPr>
        <w:numPr>
          <w:ilvl w:val="0"/>
          <w:numId w:val="24"/>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4"/>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4"/>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7" w:name="OLE_LINK172"/>
      <w:r>
        <w:rPr>
          <w:rFonts w:hint="eastAsia" w:ascii="宋体" w:hAnsi="宋体"/>
          <w:bCs/>
          <w:sz w:val="24"/>
        </w:rPr>
        <w:t>投标人中标后，在供货期内如遇产品平滑（自然）升级，中标供应商应提供平滑升级商品不补差价（招标文件中有特殊要求的除外）。</w:t>
      </w:r>
      <w:bookmarkEnd w:id="67"/>
    </w:p>
    <w:p>
      <w:pPr>
        <w:numPr>
          <w:ilvl w:val="0"/>
          <w:numId w:val="24"/>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6"/>
    <w:p>
      <w:pPr>
        <w:numPr>
          <w:ilvl w:val="0"/>
          <w:numId w:val="18"/>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8"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8"/>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outlineLvl w:val="0"/>
        <w:rPr>
          <w:rFonts w:ascii="黑体" w:hAnsi="黑体" w:eastAsia="黑体"/>
          <w:sz w:val="32"/>
          <w:szCs w:val="32"/>
        </w:rPr>
      </w:pPr>
    </w:p>
    <w:p>
      <w:pPr>
        <w:pStyle w:val="2"/>
        <w:ind w:firstLine="320"/>
        <w:rPr>
          <w:rFonts w:ascii="黑体" w:hAnsi="黑体" w:eastAsia="黑体"/>
          <w:sz w:val="32"/>
          <w:szCs w:val="32"/>
        </w:rPr>
      </w:pPr>
    </w:p>
    <w:p>
      <w:pPr>
        <w:pStyle w:val="2"/>
        <w:ind w:firstLine="320"/>
        <w:rPr>
          <w:rFonts w:hint="eastAsia" w:ascii="黑体" w:hAnsi="黑体" w:eastAsia="黑体"/>
          <w:sz w:val="32"/>
          <w:szCs w:val="32"/>
        </w:rPr>
      </w:pPr>
    </w:p>
    <w:p>
      <w:pPr>
        <w:pStyle w:val="2"/>
        <w:ind w:firstLine="320"/>
        <w:rPr>
          <w:rFonts w:hint="eastAsia" w:ascii="黑体" w:hAnsi="黑体" w:eastAsia="黑体"/>
          <w:sz w:val="32"/>
          <w:szCs w:val="32"/>
        </w:rPr>
      </w:pPr>
    </w:p>
    <w:p>
      <w:pPr>
        <w:pStyle w:val="2"/>
        <w:ind w:firstLine="320"/>
        <w:rPr>
          <w:rFonts w:hint="eastAsia" w:ascii="黑体" w:hAnsi="黑体" w:eastAsia="黑体"/>
          <w:sz w:val="32"/>
          <w:szCs w:val="32"/>
        </w:rPr>
      </w:pPr>
    </w:p>
    <w:p>
      <w:pPr>
        <w:pStyle w:val="2"/>
        <w:ind w:firstLine="320"/>
        <w:rPr>
          <w:rFonts w:ascii="黑体" w:hAnsi="黑体" w:eastAsia="黑体"/>
          <w:sz w:val="32"/>
          <w:szCs w:val="32"/>
        </w:rPr>
      </w:pPr>
    </w:p>
    <w:p>
      <w:pPr>
        <w:jc w:val="center"/>
        <w:outlineLvl w:val="0"/>
        <w:rPr>
          <w:rFonts w:hint="eastAsia" w:ascii="黑体" w:hAnsi="黑体" w:eastAsia="黑体"/>
          <w:sz w:val="28"/>
        </w:rPr>
      </w:pPr>
      <w:r>
        <w:rPr>
          <w:rFonts w:hint="eastAsia" w:ascii="黑体" w:hAnsi="黑体" w:eastAsia="黑体"/>
          <w:sz w:val="32"/>
          <w:szCs w:val="32"/>
        </w:rPr>
        <w:t xml:space="preserve">三  </w:t>
      </w:r>
      <w:r>
        <w:rPr>
          <w:rFonts w:hint="eastAsia" w:ascii="黑体" w:hAnsi="黑体" w:eastAsia="黑体"/>
          <w:sz w:val="28"/>
        </w:rPr>
        <w:t>项目技术要求和有关说明</w:t>
      </w:r>
      <w:bookmarkStart w:id="69" w:name="_Toc26921"/>
      <w:bookmarkStart w:id="70" w:name="_Toc15017"/>
      <w:bookmarkStart w:id="71" w:name="_Toc24341"/>
      <w:bookmarkStart w:id="72" w:name="_Toc372018970"/>
      <w:bookmarkStart w:id="73" w:name="_Toc374078452"/>
      <w:bookmarkStart w:id="74" w:name="_Toc376165139"/>
      <w:bookmarkStart w:id="75" w:name="_Toc372018550"/>
    </w:p>
    <w:p>
      <w:pPr>
        <w:spacing w:line="360" w:lineRule="auto"/>
        <w:ind w:firstLine="480" w:firstLineChars="200"/>
        <w:rPr>
          <w:rFonts w:ascii="宋体" w:hAnsi="宋体" w:cs="宋体"/>
          <w:sz w:val="24"/>
          <w:szCs w:val="24"/>
        </w:rPr>
      </w:pPr>
      <w:r>
        <w:rPr>
          <w:rFonts w:hint="eastAsia" w:ascii="宋体" w:hAnsi="宋体" w:cs="宋体"/>
          <w:sz w:val="24"/>
          <w:szCs w:val="24"/>
        </w:rPr>
        <w:t>一、项目概述：</w:t>
      </w:r>
    </w:p>
    <w:p>
      <w:pPr>
        <w:spacing w:line="400" w:lineRule="exact"/>
        <w:ind w:firstLine="480" w:firstLineChars="200"/>
        <w:jc w:val="left"/>
        <w:rPr>
          <w:rFonts w:ascii="宋体" w:hAnsi="宋体" w:cs="宋体"/>
          <w:sz w:val="24"/>
          <w:szCs w:val="24"/>
        </w:rPr>
      </w:pPr>
      <w:r>
        <w:rPr>
          <w:rFonts w:hint="eastAsia" w:ascii="宋体" w:hAnsi="宋体" w:cs="宋体"/>
          <w:sz w:val="24"/>
          <w:szCs w:val="24"/>
        </w:rPr>
        <w:t>本项目为宜兴水务集团有限公司</w:t>
      </w:r>
      <w:r>
        <w:rPr>
          <w:rFonts w:hint="eastAsia"/>
          <w:sz w:val="24"/>
        </w:rPr>
        <w:t>移动式静音型发电机组</w:t>
      </w:r>
      <w:r>
        <w:rPr>
          <w:rFonts w:hint="eastAsia" w:ascii="宋体" w:hAnsi="宋体"/>
          <w:bCs/>
          <w:sz w:val="24"/>
          <w:szCs w:val="24"/>
        </w:rPr>
        <w:t>采购</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二、技术要求：</w:t>
      </w:r>
    </w:p>
    <w:p>
      <w:pPr>
        <w:spacing w:line="360" w:lineRule="auto"/>
        <w:ind w:firstLine="480" w:firstLineChars="200"/>
        <w:rPr>
          <w:rFonts w:ascii="宋体" w:hAnsi="宋体" w:cs="宋体"/>
          <w:sz w:val="24"/>
          <w:szCs w:val="24"/>
        </w:rPr>
      </w:pPr>
      <w:r>
        <w:rPr>
          <w:rFonts w:hint="eastAsia" w:ascii="宋体" w:hAnsi="宋体" w:cs="宋体"/>
          <w:sz w:val="24"/>
          <w:szCs w:val="24"/>
        </w:rPr>
        <w:t>1、本次招标项目的要求及数量详见下表，最高限价45万元。</w:t>
      </w:r>
    </w:p>
    <w:tbl>
      <w:tblPr>
        <w:tblStyle w:val="75"/>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531"/>
        <w:gridCol w:w="1744"/>
        <w:gridCol w:w="2111"/>
        <w:gridCol w:w="2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1"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序号</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设备名称</w:t>
            </w:r>
          </w:p>
        </w:tc>
        <w:tc>
          <w:tcPr>
            <w:tcW w:w="17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数量</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规格</w:t>
            </w:r>
          </w:p>
        </w:tc>
        <w:tc>
          <w:tcPr>
            <w:tcW w:w="28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8"/>
              </w:rPr>
            </w:pPr>
            <w:r>
              <w:rPr>
                <w:rFonts w:hint="eastAsia" w:ascii="宋体" w:hAnsi="宋体"/>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ind w:left="-111" w:leftChars="-53" w:firstLine="62" w:firstLineChars="26"/>
              <w:jc w:val="center"/>
              <w:rPr>
                <w:rFonts w:ascii="宋体" w:hAnsi="宋体"/>
                <w:sz w:val="24"/>
                <w:szCs w:val="28"/>
              </w:rPr>
            </w:pPr>
            <w:r>
              <w:rPr>
                <w:rFonts w:hint="eastAsia" w:ascii="宋体" w:hAnsi="宋体"/>
                <w:sz w:val="24"/>
                <w:szCs w:val="28"/>
              </w:rPr>
              <w:t>1</w:t>
            </w:r>
          </w:p>
        </w:tc>
        <w:tc>
          <w:tcPr>
            <w:tcW w:w="2531" w:type="dxa"/>
            <w:vMerge w:val="restart"/>
            <w:tcBorders>
              <w:top w:val="single" w:color="auto" w:sz="4" w:space="0"/>
              <w:left w:val="single" w:color="auto" w:sz="4" w:space="0"/>
              <w:right w:val="single" w:color="auto" w:sz="4" w:space="0"/>
            </w:tcBorders>
            <w:noWrap w:val="0"/>
            <w:vAlign w:val="center"/>
          </w:tcPr>
          <w:p>
            <w:pPr>
              <w:ind w:left="-111" w:leftChars="-53" w:firstLine="62" w:firstLineChars="26"/>
              <w:jc w:val="center"/>
              <w:rPr>
                <w:rFonts w:ascii="宋体" w:hAnsi="宋体"/>
                <w:sz w:val="24"/>
                <w:szCs w:val="28"/>
              </w:rPr>
            </w:pPr>
            <w:r>
              <w:rPr>
                <w:rFonts w:hint="eastAsia"/>
                <w:sz w:val="24"/>
              </w:rPr>
              <w:t>移动式静音型柴油发电机组</w:t>
            </w:r>
          </w:p>
        </w:tc>
        <w:tc>
          <w:tcPr>
            <w:tcW w:w="17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8"/>
              </w:rPr>
            </w:pPr>
            <w:r>
              <w:rPr>
                <w:rFonts w:hint="eastAsia" w:ascii="宋体" w:hAnsi="宋体"/>
                <w:sz w:val="24"/>
                <w:szCs w:val="28"/>
              </w:rPr>
              <w:t>1</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50kw，4缸，排气量3.9L</w:t>
            </w:r>
          </w:p>
        </w:tc>
        <w:tc>
          <w:tcPr>
            <w:tcW w:w="28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大贤岭水厂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4"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ind w:left="-111" w:leftChars="-53" w:firstLine="62" w:firstLineChars="26"/>
              <w:jc w:val="center"/>
              <w:rPr>
                <w:rFonts w:hint="eastAsia" w:ascii="宋体" w:hAnsi="宋体"/>
                <w:sz w:val="24"/>
                <w:szCs w:val="28"/>
              </w:rPr>
            </w:pPr>
            <w:r>
              <w:rPr>
                <w:rFonts w:hint="eastAsia" w:ascii="宋体" w:hAnsi="宋体"/>
                <w:sz w:val="24"/>
                <w:szCs w:val="28"/>
              </w:rPr>
              <w:t>2</w:t>
            </w:r>
          </w:p>
        </w:tc>
        <w:tc>
          <w:tcPr>
            <w:tcW w:w="2531" w:type="dxa"/>
            <w:vMerge w:val="continue"/>
            <w:tcBorders>
              <w:left w:val="single" w:color="auto" w:sz="4" w:space="0"/>
              <w:right w:val="single" w:color="auto" w:sz="4" w:space="0"/>
            </w:tcBorders>
            <w:noWrap w:val="0"/>
            <w:vAlign w:val="center"/>
          </w:tcPr>
          <w:p>
            <w:pPr>
              <w:ind w:left="-111" w:leftChars="-53" w:firstLine="62" w:firstLineChars="26"/>
              <w:jc w:val="center"/>
              <w:rPr>
                <w:rFonts w:hint="eastAsia"/>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8"/>
              </w:rPr>
            </w:pPr>
            <w:r>
              <w:rPr>
                <w:rFonts w:hint="eastAsia" w:ascii="宋体" w:hAnsi="宋体"/>
                <w:sz w:val="24"/>
                <w:szCs w:val="28"/>
              </w:rPr>
              <w:t>1</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8"/>
                <w:highlight w:val="yellow"/>
              </w:rPr>
            </w:pPr>
            <w:r>
              <w:rPr>
                <w:rFonts w:hint="eastAsia" w:ascii="宋体" w:hAnsi="宋体"/>
                <w:sz w:val="24"/>
                <w:szCs w:val="28"/>
                <w:highlight w:val="yellow"/>
              </w:rPr>
              <w:t>160kw，6缸，排气量8.3L</w:t>
            </w:r>
          </w:p>
        </w:tc>
        <w:tc>
          <w:tcPr>
            <w:tcW w:w="2838" w:type="dxa"/>
            <w:tcBorders>
              <w:top w:val="single" w:color="auto" w:sz="4" w:space="0"/>
              <w:left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氿滨水厂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3"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ind w:left="-111" w:leftChars="-53" w:firstLine="62" w:firstLineChars="26"/>
              <w:jc w:val="center"/>
              <w:rPr>
                <w:rFonts w:hint="eastAsia" w:ascii="宋体" w:hAnsi="宋体"/>
                <w:sz w:val="24"/>
                <w:szCs w:val="28"/>
              </w:rPr>
            </w:pPr>
            <w:r>
              <w:rPr>
                <w:rFonts w:hint="eastAsia" w:ascii="宋体" w:hAnsi="宋体"/>
                <w:sz w:val="24"/>
                <w:szCs w:val="28"/>
              </w:rPr>
              <w:t>3</w:t>
            </w:r>
          </w:p>
        </w:tc>
        <w:tc>
          <w:tcPr>
            <w:tcW w:w="2531" w:type="dxa"/>
            <w:vMerge w:val="continue"/>
            <w:tcBorders>
              <w:left w:val="single" w:color="auto" w:sz="4" w:space="0"/>
              <w:bottom w:val="single" w:color="auto" w:sz="4" w:space="0"/>
              <w:right w:val="single" w:color="auto" w:sz="4" w:space="0"/>
            </w:tcBorders>
            <w:noWrap w:val="0"/>
            <w:vAlign w:val="center"/>
          </w:tcPr>
          <w:p>
            <w:pPr>
              <w:ind w:left="-111" w:leftChars="-53" w:firstLine="62" w:firstLineChars="26"/>
              <w:jc w:val="center"/>
              <w:rPr>
                <w:rFonts w:hint="eastAsia"/>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8"/>
              </w:rPr>
            </w:pPr>
            <w:r>
              <w:rPr>
                <w:rFonts w:hint="eastAsia" w:ascii="宋体" w:hAnsi="宋体"/>
                <w:sz w:val="24"/>
                <w:szCs w:val="28"/>
              </w:rPr>
              <w:t>1</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8"/>
                <w:highlight w:val="yellow"/>
              </w:rPr>
            </w:pPr>
            <w:r>
              <w:rPr>
                <w:rFonts w:hint="eastAsia" w:ascii="宋体" w:hAnsi="宋体"/>
                <w:sz w:val="24"/>
                <w:szCs w:val="28"/>
                <w:highlight w:val="yellow"/>
              </w:rPr>
              <w:t>250kw，6缸，排气量14L</w:t>
            </w:r>
          </w:p>
        </w:tc>
        <w:tc>
          <w:tcPr>
            <w:tcW w:w="2838" w:type="dxa"/>
            <w:tcBorders>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氿滨水厂,车载型</w:t>
            </w:r>
          </w:p>
        </w:tc>
      </w:tr>
    </w:tbl>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最终结算以单价为准。</w:t>
      </w:r>
    </w:p>
    <w:p>
      <w:pPr>
        <w:pStyle w:val="2"/>
        <w:ind w:firstLine="240"/>
        <w:rPr>
          <w:rFonts w:hint="eastAsia"/>
          <w:sz w:val="24"/>
          <w:szCs w:val="24"/>
        </w:rPr>
      </w:pPr>
      <w:r>
        <w:rPr>
          <w:rFonts w:hint="eastAsia"/>
          <w:sz w:val="24"/>
          <w:szCs w:val="24"/>
        </w:rPr>
        <w:t>3品牌要求：</w:t>
      </w:r>
    </w:p>
    <w:p>
      <w:pPr>
        <w:pStyle w:val="2"/>
        <w:ind w:firstLine="240"/>
        <w:rPr>
          <w:rFonts w:hint="eastAsia"/>
          <w:sz w:val="24"/>
          <w:szCs w:val="24"/>
        </w:rPr>
      </w:pPr>
      <w:r>
        <w:rPr>
          <w:rFonts w:hint="eastAsia"/>
          <w:sz w:val="24"/>
          <w:szCs w:val="24"/>
        </w:rPr>
        <w:t>柴油发动机品牌要求：</w:t>
      </w:r>
      <w:r>
        <w:rPr>
          <w:sz w:val="24"/>
          <w:szCs w:val="24"/>
        </w:rPr>
        <w:t>康明斯、玉柴、</w:t>
      </w:r>
      <w:r>
        <w:rPr>
          <w:rFonts w:hint="eastAsia"/>
          <w:sz w:val="24"/>
          <w:szCs w:val="24"/>
          <w:lang w:eastAsia="zh-CN"/>
        </w:rPr>
        <w:t>上</w:t>
      </w:r>
      <w:r>
        <w:rPr>
          <w:sz w:val="24"/>
          <w:szCs w:val="24"/>
        </w:rPr>
        <w:t>柴或同档次以上品牌</w:t>
      </w:r>
    </w:p>
    <w:p>
      <w:pPr>
        <w:pStyle w:val="2"/>
        <w:ind w:firstLine="240"/>
        <w:rPr>
          <w:rFonts w:hint="eastAsia"/>
          <w:sz w:val="24"/>
          <w:szCs w:val="24"/>
        </w:rPr>
      </w:pPr>
      <w:r>
        <w:rPr>
          <w:rFonts w:hint="eastAsia"/>
          <w:sz w:val="24"/>
          <w:szCs w:val="24"/>
        </w:rPr>
        <w:t>发电机品牌要求：</w:t>
      </w:r>
      <w:r>
        <w:rPr>
          <w:sz w:val="24"/>
          <w:szCs w:val="24"/>
        </w:rPr>
        <w:t>斯坦福、利莱森玛、马拉松或同档次以上品牌</w:t>
      </w:r>
    </w:p>
    <w:p>
      <w:pPr>
        <w:pStyle w:val="2"/>
        <w:ind w:firstLine="240"/>
        <w:rPr>
          <w:rFonts w:hint="eastAsia"/>
          <w:sz w:val="24"/>
          <w:szCs w:val="24"/>
        </w:rPr>
      </w:pPr>
      <w:r>
        <w:rPr>
          <w:sz w:val="24"/>
          <w:szCs w:val="24"/>
        </w:rPr>
        <w:t>控制器: 深海、科迈、伍德沃德 丹控或同档次以上品牌</w:t>
      </w:r>
    </w:p>
    <w:p>
      <w:pPr>
        <w:pStyle w:val="2"/>
        <w:ind w:firstLine="240"/>
        <w:rPr>
          <w:rFonts w:hint="eastAsia"/>
          <w:sz w:val="24"/>
          <w:szCs w:val="24"/>
          <w:lang w:eastAsia="zh-CN"/>
        </w:rPr>
      </w:pPr>
      <w:r>
        <w:rPr>
          <w:sz w:val="24"/>
          <w:szCs w:val="24"/>
        </w:rPr>
        <w:t>断路器: ABB、西门子、施耐德或同档次以上品牌</w:t>
      </w:r>
    </w:p>
    <w:p>
      <w:pPr>
        <w:pStyle w:val="2"/>
        <w:ind w:firstLine="240"/>
        <w:rPr>
          <w:rFonts w:hint="eastAsia"/>
          <w:sz w:val="24"/>
          <w:szCs w:val="24"/>
          <w:lang w:eastAsia="zh-CN"/>
        </w:rPr>
      </w:pPr>
      <w:r>
        <w:rPr>
          <w:rFonts w:hint="eastAsia"/>
          <w:sz w:val="24"/>
          <w:szCs w:val="24"/>
          <w:highlight w:val="yellow"/>
          <w:lang w:eastAsia="zh-CN"/>
        </w:rPr>
        <w:t>4、本次招标内容为移动式静音型柴油发电机组，静音箱体由不小于3mm的钢板制作而成，内含静音棉，7米内噪音需小于75DB</w:t>
      </w:r>
    </w:p>
    <w:p>
      <w:pPr>
        <w:pStyle w:val="2"/>
        <w:ind w:firstLine="240"/>
        <w:rPr>
          <w:rFonts w:hint="eastAsia"/>
          <w:sz w:val="24"/>
          <w:szCs w:val="24"/>
          <w:lang w:eastAsia="zh-CN"/>
        </w:rPr>
      </w:pPr>
      <w:r>
        <w:rPr>
          <w:rFonts w:hint="eastAsia"/>
          <w:sz w:val="24"/>
          <w:szCs w:val="24"/>
          <w:lang w:eastAsia="zh-CN"/>
        </w:rPr>
        <w:t>5</w:t>
      </w:r>
      <w:r>
        <w:rPr>
          <w:rFonts w:hint="eastAsia"/>
          <w:sz w:val="24"/>
          <w:szCs w:val="24"/>
          <w:highlight w:val="yellow"/>
          <w:lang w:eastAsia="zh-CN"/>
        </w:rPr>
        <w:t>、投标供应商在投标时须提供投标产品清晰彩照、产品参数说明书等相关资料</w:t>
      </w:r>
    </w:p>
    <w:p>
      <w:pPr>
        <w:autoSpaceDE w:val="0"/>
        <w:autoSpaceDN w:val="0"/>
        <w:adjustRightIn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三、质量标准：</w:t>
      </w:r>
    </w:p>
    <w:p>
      <w:pPr>
        <w:autoSpaceDE w:val="0"/>
        <w:autoSpaceDN w:val="0"/>
        <w:adjustRightInd w:val="0"/>
        <w:spacing w:line="276" w:lineRule="auto"/>
        <w:ind w:firstLine="640" w:firstLineChars="200"/>
        <w:jc w:val="left"/>
        <w:rPr>
          <w:rFonts w:hint="eastAsia" w:ascii="仿宋" w:hAnsi="仿宋" w:eastAsia="仿宋"/>
          <w:sz w:val="32"/>
          <w:szCs w:val="32"/>
        </w:rPr>
      </w:pPr>
      <w:r>
        <w:rPr>
          <w:rFonts w:hint="eastAsia" w:ascii="仿宋" w:hAnsi="仿宋" w:eastAsia="仿宋"/>
          <w:sz w:val="32"/>
          <w:szCs w:val="32"/>
        </w:rPr>
        <w:t>1、</w:t>
      </w:r>
      <w:r>
        <w:rPr>
          <w:rFonts w:ascii="仿宋" w:hAnsi="仿宋" w:eastAsia="仿宋"/>
          <w:sz w:val="32"/>
          <w:szCs w:val="32"/>
        </w:rPr>
        <w:t>柴油发电机组设计、加工制造、材料、探伤、电气装置、检验、试 验等应参照适合于该项目的相关标准、试验规范，以及技术规格书规定的有 关要求。所有计量仪器必须符合国家法定计量标准。这些标准应包括：中国 国家标准及其它被普遍认可的中国和国际标准；</w:t>
      </w:r>
    </w:p>
    <w:p>
      <w:pPr>
        <w:pStyle w:val="2"/>
        <w:spacing w:line="276" w:lineRule="auto"/>
        <w:ind w:firstLine="640" w:firstLineChars="200"/>
        <w:rPr>
          <w:rFonts w:hint="eastAsia" w:ascii="仿宋" w:hAnsi="仿宋" w:eastAsia="仿宋"/>
          <w:sz w:val="32"/>
          <w:szCs w:val="32"/>
        </w:rPr>
      </w:pPr>
      <w:r>
        <w:rPr>
          <w:rFonts w:ascii="仿宋" w:hAnsi="仿宋" w:eastAsia="仿宋"/>
          <w:sz w:val="32"/>
          <w:szCs w:val="32"/>
        </w:rPr>
        <w:t>GB2820-97,GB12786-91,GB1105,GB766,ISO8528,VDE0875-N,VDE0530,IE C34-1 ，BS4999 ，BS5000pt99 ，BS4999 ，BS5000pt99， BS5514，AS1359， UTE5100，CSA A22.2， CEMA，NEMA MGI—22；及由招标方认可的其它国 家的其它权威标准。</w:t>
      </w:r>
    </w:p>
    <w:p>
      <w:pPr>
        <w:pStyle w:val="2"/>
        <w:spacing w:line="276" w:lineRule="auto"/>
        <w:ind w:firstLine="0" w:firstLineChars="0"/>
        <w:rPr>
          <w:rFonts w:hint="eastAsia" w:ascii="仿宋" w:hAnsi="仿宋" w:eastAsia="仿宋"/>
          <w:sz w:val="32"/>
          <w:szCs w:val="32"/>
        </w:rPr>
      </w:pPr>
      <w:r>
        <w:rPr>
          <w:rFonts w:hint="eastAsia" w:ascii="仿宋" w:hAnsi="仿宋" w:eastAsia="仿宋"/>
          <w:sz w:val="32"/>
          <w:szCs w:val="32"/>
        </w:rPr>
        <w:t>2、</w:t>
      </w:r>
      <w:r>
        <w:rPr>
          <w:rFonts w:ascii="仿宋" w:hAnsi="仿宋" w:eastAsia="仿宋"/>
          <w:sz w:val="32"/>
          <w:szCs w:val="32"/>
        </w:rPr>
        <w:t>机组需满足的技术指标：遵守最新的国家标准（ＧＢ）和国际电工 委员会(IEC)标准以及国际单位制(SI)标准，还应遵守制造商所在国家标准， 当上述标准不一致时按高标准执行。设备和配套件要符合以下标准但不局限 于以下标准：</w:t>
      </w:r>
    </w:p>
    <w:p>
      <w:pPr>
        <w:pStyle w:val="2"/>
        <w:spacing w:line="276" w:lineRule="auto"/>
        <w:ind w:firstLine="0" w:firstLineChars="0"/>
        <w:rPr>
          <w:rFonts w:hint="eastAsia" w:ascii="仿宋" w:hAnsi="仿宋" w:eastAsia="仿宋"/>
          <w:sz w:val="32"/>
          <w:szCs w:val="32"/>
        </w:rPr>
      </w:pPr>
      <w:r>
        <w:rPr>
          <w:rFonts w:ascii="仿宋" w:hAnsi="仿宋" w:eastAsia="仿宋"/>
          <w:sz w:val="32"/>
          <w:szCs w:val="32"/>
        </w:rPr>
        <w:t>GB2819－97《交流工频移动电站通用技术条件》 GB2820－97《250 至 3200 千瓦柴油发电机组通用技术条件》 GB/T 4712-2008《自动化柴油发电机组分级要求》 GB12786-91《自动化柴油发电机组通用技术标准》 ISO8528-1《往复式内燃机驱动交流发电机组》</w:t>
      </w:r>
    </w:p>
    <w:p>
      <w:pPr>
        <w:pStyle w:val="2"/>
        <w:spacing w:line="276" w:lineRule="auto"/>
        <w:ind w:firstLine="0" w:firstLineChars="0"/>
        <w:rPr>
          <w:rFonts w:hint="eastAsia" w:ascii="仿宋" w:hAnsi="仿宋" w:eastAsia="仿宋"/>
          <w:sz w:val="32"/>
          <w:szCs w:val="32"/>
        </w:rPr>
      </w:pPr>
      <w:r>
        <w:rPr>
          <w:rFonts w:ascii="仿宋" w:hAnsi="仿宋" w:eastAsia="仿宋"/>
          <w:sz w:val="32"/>
          <w:szCs w:val="32"/>
        </w:rPr>
        <w:t>卖方所提供的柴油发动机组，必须符合但不限于下列全部法规和标准：</w:t>
      </w:r>
    </w:p>
    <w:p>
      <w:pPr>
        <w:pStyle w:val="2"/>
        <w:spacing w:line="276" w:lineRule="auto"/>
        <w:ind w:firstLine="0" w:firstLineChars="0"/>
        <w:rPr>
          <w:rFonts w:hint="eastAsia" w:ascii="仿宋" w:hAnsi="仿宋" w:eastAsia="仿宋"/>
          <w:sz w:val="32"/>
          <w:szCs w:val="32"/>
        </w:rPr>
      </w:pPr>
      <w:r>
        <w:rPr>
          <w:rFonts w:ascii="仿宋" w:hAnsi="仿宋" w:eastAsia="仿宋"/>
          <w:sz w:val="32"/>
          <w:szCs w:val="32"/>
        </w:rPr>
        <w:t>GB/T2820《往复式内燃机驱动的发电机组》 DL/T6027.1《往复式内燃机性能 标准基准状况，功率、燃油消耗和机 油消耗的标定及试验方法》 GB755《旋转电机 定额及性能》 GB4712《自动化柴油发动机组分级要求》 GB12786《自动化柴油发动机组通用技术规格》 JB/T7606《内燃机电站总装技术要求》 GB/T6072《往复式内燃机组性能》 GB/T1859《往复式内燃机复设的空气噪声测量》 GB/T4759《内燃机排气消声器测量方法》 GB/T14048《低压开关设备和控制设备》 GB/T14824《发电机断路器通用技术条件》 GB/T15548《往复式内燃机驱动的三相同步发电机通用技术条件》 GBJ32《电气装置安装工程施工及验收规范》</w:t>
      </w:r>
    </w:p>
    <w:p>
      <w:pPr>
        <w:pStyle w:val="2"/>
        <w:spacing w:line="276" w:lineRule="auto"/>
        <w:ind w:firstLine="0" w:firstLineChars="0"/>
        <w:rPr>
          <w:rFonts w:hint="eastAsia" w:ascii="仿宋" w:hAnsi="仿宋" w:eastAsia="仿宋"/>
          <w:sz w:val="32"/>
          <w:szCs w:val="32"/>
        </w:rPr>
      </w:pPr>
      <w:r>
        <w:rPr>
          <w:rFonts w:ascii="仿宋" w:hAnsi="仿宋" w:eastAsia="仿宋"/>
          <w:sz w:val="32"/>
          <w:szCs w:val="32"/>
        </w:rPr>
        <w:t>满足 ISO3046、BS4999、BS5000、BS5514、BS7689、IEC34-1、VDE0530 等标准。满足国内环保标准，满足《民用建筑电气设计规范》（JGJ/T16-2008） 对柴油发电机组主要配置的相关要求。 满足宜兴市供电管理部门的入网要求及相关规定。</w:t>
      </w:r>
    </w:p>
    <w:p>
      <w:pPr>
        <w:pStyle w:val="2"/>
        <w:ind w:firstLine="0" w:firstLineChars="0"/>
      </w:pPr>
      <w:r>
        <w:rPr>
          <w:rFonts w:hint="eastAsia"/>
          <w:lang w:val="en-US" w:eastAsia="zh-CN"/>
        </w:rPr>
        <w:t>250KW发电机组 技术参数要求</w:t>
      </w:r>
    </w:p>
    <w:tbl>
      <w:tblPr>
        <w:tblStyle w:val="75"/>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5"/>
        <w:gridCol w:w="11"/>
        <w:gridCol w:w="2234"/>
        <w:gridCol w:w="53"/>
        <w:gridCol w:w="2714"/>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619" w:type="dxa"/>
            <w:gridSpan w:val="6"/>
            <w:noWrap/>
            <w:vAlign w:val="top"/>
          </w:tcPr>
          <w:p>
            <w:r>
              <w:rPr>
                <w:rFonts w:hint="eastAsia" w:ascii="宋体" w:hAnsi="宋体"/>
                <w:b/>
                <w:sz w:val="28"/>
                <w:szCs w:val="28"/>
              </w:rPr>
              <w:t>柴油发电机组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000" w:type="dxa"/>
            <w:gridSpan w:val="3"/>
            <w:noWrap/>
            <w:vAlign w:val="top"/>
          </w:tcPr>
          <w:p>
            <w:pPr>
              <w:rPr>
                <w:rFonts w:ascii="宋体" w:hAnsi="宋体"/>
              </w:rPr>
            </w:pPr>
            <w:r>
              <w:rPr>
                <w:rFonts w:hint="eastAsia" w:ascii="宋体" w:hAnsi="宋体"/>
              </w:rPr>
              <w:t>常用功率（kW）</w:t>
            </w:r>
          </w:p>
        </w:tc>
        <w:tc>
          <w:tcPr>
            <w:tcW w:w="3619" w:type="dxa"/>
            <w:gridSpan w:val="3"/>
            <w:noWrap/>
            <w:vAlign w:val="top"/>
          </w:tcPr>
          <w:p>
            <w:pPr>
              <w:rPr>
                <w:rFonts w:ascii="宋体" w:hAnsi="宋体"/>
              </w:rPr>
            </w:pPr>
            <w:r>
              <w:rPr>
                <w:rFonts w:hint="eastAsia" w:ascii="宋体" w:hAnsi="宋体"/>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000" w:type="dxa"/>
            <w:gridSpan w:val="3"/>
            <w:noWrap/>
            <w:vAlign w:val="top"/>
          </w:tcPr>
          <w:p>
            <w:pPr>
              <w:rPr>
                <w:rFonts w:ascii="宋体" w:hAnsi="宋体"/>
              </w:rPr>
            </w:pPr>
            <w:r>
              <w:rPr>
                <w:rFonts w:hint="eastAsia" w:ascii="宋体" w:hAnsi="宋体"/>
              </w:rPr>
              <w:t>输出容量（kVA）</w:t>
            </w:r>
          </w:p>
        </w:tc>
        <w:tc>
          <w:tcPr>
            <w:tcW w:w="3619" w:type="dxa"/>
            <w:gridSpan w:val="3"/>
            <w:noWrap/>
            <w:vAlign w:val="top"/>
          </w:tcPr>
          <w:p>
            <w:pPr>
              <w:rPr>
                <w:rFonts w:ascii="宋体" w:hAnsi="宋体"/>
              </w:rPr>
            </w:pPr>
            <w:r>
              <w:rPr>
                <w:rFonts w:hint="eastAsia" w:ascii="宋体" w:hAnsi="宋体"/>
              </w:rPr>
              <w:t>312.5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000" w:type="dxa"/>
            <w:gridSpan w:val="3"/>
            <w:noWrap/>
            <w:vAlign w:val="top"/>
          </w:tcPr>
          <w:p>
            <w:pPr>
              <w:rPr>
                <w:rFonts w:ascii="宋体" w:hAnsi="宋体"/>
              </w:rPr>
            </w:pPr>
            <w:r>
              <w:rPr>
                <w:rFonts w:hint="eastAsia" w:ascii="宋体" w:hAnsi="宋体"/>
              </w:rPr>
              <w:t>功率因数</w:t>
            </w:r>
          </w:p>
        </w:tc>
        <w:tc>
          <w:tcPr>
            <w:tcW w:w="3619" w:type="dxa"/>
            <w:gridSpan w:val="3"/>
            <w:noWrap/>
            <w:vAlign w:val="top"/>
          </w:tcPr>
          <w:p>
            <w:pPr>
              <w:rPr>
                <w:rFonts w:ascii="宋体" w:hAnsi="宋体"/>
              </w:rPr>
            </w:pPr>
            <w:r>
              <w:rPr>
                <w:rFonts w:ascii="宋体" w:hAnsi="宋体"/>
              </w:rPr>
              <w:t>0.8</w:t>
            </w:r>
            <w:r>
              <w:rPr>
                <w:rFonts w:hint="eastAsia" w:ascii="宋体" w:hAnsi="宋体"/>
              </w:rPr>
              <w:t>（滞后）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000" w:type="dxa"/>
            <w:gridSpan w:val="3"/>
            <w:noWrap/>
            <w:vAlign w:val="top"/>
          </w:tcPr>
          <w:p>
            <w:pPr>
              <w:rPr>
                <w:rFonts w:ascii="宋体" w:hAnsi="宋体"/>
              </w:rPr>
            </w:pPr>
            <w:r>
              <w:rPr>
                <w:rFonts w:hint="eastAsia" w:ascii="宋体" w:hAnsi="宋体"/>
              </w:rPr>
              <w:t>频率(Hz)</w:t>
            </w:r>
          </w:p>
        </w:tc>
        <w:tc>
          <w:tcPr>
            <w:tcW w:w="3619" w:type="dxa"/>
            <w:gridSpan w:val="3"/>
            <w:noWrap/>
            <w:vAlign w:val="top"/>
          </w:tcPr>
          <w:p>
            <w:pPr>
              <w:rPr>
                <w:rFonts w:ascii="宋体" w:hAnsi="宋体"/>
              </w:rPr>
            </w:pPr>
            <w:r>
              <w:rPr>
                <w:rFonts w:hint="eastAsia" w:ascii="宋体" w:hAnsi="宋体"/>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000" w:type="dxa"/>
            <w:gridSpan w:val="3"/>
            <w:noWrap/>
            <w:vAlign w:val="top"/>
          </w:tcPr>
          <w:p>
            <w:pPr>
              <w:rPr>
                <w:rFonts w:ascii="宋体" w:hAnsi="宋体"/>
              </w:rPr>
            </w:pPr>
            <w:r>
              <w:rPr>
                <w:rFonts w:hint="eastAsia" w:ascii="宋体" w:hAnsi="宋体"/>
              </w:rPr>
              <w:t>输出电压（V）</w:t>
            </w:r>
          </w:p>
        </w:tc>
        <w:tc>
          <w:tcPr>
            <w:tcW w:w="3619" w:type="dxa"/>
            <w:gridSpan w:val="3"/>
            <w:noWrap/>
            <w:vAlign w:val="top"/>
          </w:tcPr>
          <w:p>
            <w:pPr>
              <w:rPr>
                <w:rFonts w:ascii="宋体" w:hAnsi="宋体"/>
              </w:rPr>
            </w:pPr>
            <w:r>
              <w:rPr>
                <w:rFonts w:hint="eastAsia" w:ascii="宋体" w:hAnsi="宋体"/>
              </w:rPr>
              <w:t>400 / 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000" w:type="dxa"/>
            <w:gridSpan w:val="3"/>
            <w:noWrap/>
            <w:vAlign w:val="top"/>
          </w:tcPr>
          <w:p>
            <w:pPr>
              <w:rPr>
                <w:rFonts w:ascii="宋体" w:hAnsi="宋体"/>
              </w:rPr>
            </w:pPr>
            <w:r>
              <w:rPr>
                <w:rFonts w:hint="eastAsia" w:ascii="宋体" w:hAnsi="宋体"/>
              </w:rPr>
              <w:t>输出电流（A）</w:t>
            </w:r>
          </w:p>
        </w:tc>
        <w:tc>
          <w:tcPr>
            <w:tcW w:w="3619" w:type="dxa"/>
            <w:gridSpan w:val="3"/>
            <w:noWrap/>
            <w:vAlign w:val="top"/>
          </w:tcPr>
          <w:p>
            <w:pPr>
              <w:rPr>
                <w:rFonts w:ascii="宋体" w:hAnsi="宋体"/>
              </w:rPr>
            </w:pPr>
            <w:r>
              <w:rPr>
                <w:rFonts w:hint="eastAsia" w:ascii="宋体" w:hAnsi="宋体"/>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619" w:type="dxa"/>
            <w:gridSpan w:val="6"/>
            <w:noWrap/>
            <w:vAlign w:val="top"/>
          </w:tcPr>
          <w:p>
            <w:pPr>
              <w:rPr>
                <w:rFonts w:ascii="宋体" w:hAnsi="宋体"/>
                <w:b/>
                <w:u w:val="single"/>
              </w:rPr>
            </w:pPr>
            <w:r>
              <w:rPr>
                <w:rFonts w:hint="eastAsia" w:ascii="宋体" w:hAnsi="宋体"/>
                <w:b/>
                <w:sz w:val="30"/>
              </w:rPr>
              <w:t>柴油机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766" w:type="dxa"/>
            <w:gridSpan w:val="2"/>
            <w:noWrap/>
            <w:vAlign w:val="top"/>
          </w:tcPr>
          <w:p>
            <w:pPr>
              <w:rPr>
                <w:rFonts w:ascii="宋体" w:hAnsi="宋体"/>
              </w:rPr>
            </w:pPr>
            <w:r>
              <w:rPr>
                <w:rFonts w:hint="eastAsia" w:ascii="宋体" w:hAnsi="宋体"/>
              </w:rPr>
              <w:t>额定转速（RPM）</w:t>
            </w:r>
          </w:p>
        </w:tc>
        <w:tc>
          <w:tcPr>
            <w:tcW w:w="2287" w:type="dxa"/>
            <w:gridSpan w:val="2"/>
            <w:noWrap/>
            <w:vAlign w:val="top"/>
          </w:tcPr>
          <w:p>
            <w:pPr>
              <w:rPr>
                <w:rFonts w:ascii="宋体" w:hAnsi="宋体"/>
              </w:rPr>
            </w:pPr>
            <w:r>
              <w:rPr>
                <w:rFonts w:hint="eastAsia" w:ascii="宋体" w:hAnsi="宋体"/>
              </w:rPr>
              <w:t>1500</w:t>
            </w:r>
          </w:p>
        </w:tc>
        <w:tc>
          <w:tcPr>
            <w:tcW w:w="2714" w:type="dxa"/>
            <w:noWrap/>
            <w:vAlign w:val="top"/>
          </w:tcPr>
          <w:p>
            <w:pPr>
              <w:rPr>
                <w:rFonts w:ascii="宋体" w:hAnsi="宋体"/>
              </w:rPr>
            </w:pPr>
            <w:r>
              <w:rPr>
                <w:rFonts w:hint="eastAsia" w:ascii="宋体" w:hAnsi="宋体"/>
              </w:rPr>
              <w:t>进气压力(kPa)</w:t>
            </w:r>
          </w:p>
        </w:tc>
        <w:tc>
          <w:tcPr>
            <w:tcW w:w="852" w:type="dxa"/>
            <w:noWrap/>
            <w:vAlign w:val="top"/>
          </w:tcPr>
          <w:p>
            <w:pPr>
              <w:rPr>
                <w:rFonts w:ascii="宋体" w:hAnsi="宋体"/>
              </w:rPr>
            </w:pPr>
            <w:r>
              <w:rPr>
                <w:rFonts w:hint="eastAsia" w:ascii="宋体" w:hAnsi="宋体"/>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766" w:type="dxa"/>
            <w:gridSpan w:val="2"/>
            <w:noWrap/>
            <w:vAlign w:val="top"/>
          </w:tcPr>
          <w:p>
            <w:pPr>
              <w:rPr>
                <w:rFonts w:ascii="宋体" w:hAnsi="宋体"/>
              </w:rPr>
            </w:pPr>
            <w:r>
              <w:rPr>
                <w:rFonts w:hint="eastAsia" w:ascii="宋体" w:hAnsi="宋体"/>
              </w:rPr>
              <w:t>气缸数</w:t>
            </w:r>
          </w:p>
        </w:tc>
        <w:tc>
          <w:tcPr>
            <w:tcW w:w="2287" w:type="dxa"/>
            <w:gridSpan w:val="2"/>
            <w:noWrap/>
            <w:vAlign w:val="center"/>
          </w:tcPr>
          <w:p>
            <w:pPr>
              <w:rPr>
                <w:rFonts w:ascii="宋体" w:hAnsi="宋体"/>
              </w:rPr>
            </w:pPr>
            <w:r>
              <w:rPr>
                <w:rFonts w:hint="eastAsia" w:ascii="宋体" w:hAnsi="宋体"/>
              </w:rPr>
              <w:t>6</w:t>
            </w:r>
          </w:p>
        </w:tc>
        <w:tc>
          <w:tcPr>
            <w:tcW w:w="2714" w:type="dxa"/>
            <w:noWrap/>
            <w:vAlign w:val="top"/>
          </w:tcPr>
          <w:p>
            <w:pPr>
              <w:rPr>
                <w:rFonts w:ascii="宋体" w:hAnsi="宋体"/>
              </w:rPr>
            </w:pPr>
            <w:r>
              <w:rPr>
                <w:rFonts w:hint="eastAsia" w:ascii="宋体" w:hAnsi="宋体"/>
              </w:rPr>
              <w:t>输出功率（kW）</w:t>
            </w:r>
          </w:p>
        </w:tc>
        <w:tc>
          <w:tcPr>
            <w:tcW w:w="852" w:type="dxa"/>
            <w:noWrap/>
            <w:vAlign w:val="top"/>
          </w:tcPr>
          <w:p>
            <w:pPr>
              <w:rPr>
                <w:rFonts w:ascii="宋体" w:hAnsi="宋体"/>
              </w:rPr>
            </w:pPr>
            <w:r>
              <w:rPr>
                <w:rFonts w:hint="eastAsia" w:ascii="宋体" w:hAnsi="宋体"/>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766" w:type="dxa"/>
            <w:gridSpan w:val="2"/>
            <w:noWrap/>
            <w:vAlign w:val="top"/>
          </w:tcPr>
          <w:p>
            <w:pPr>
              <w:rPr>
                <w:rFonts w:ascii="宋体" w:hAnsi="宋体"/>
              </w:rPr>
            </w:pPr>
            <w:r>
              <w:rPr>
                <w:rFonts w:hint="eastAsia" w:ascii="宋体" w:hAnsi="宋体"/>
              </w:rPr>
              <w:t>气缸排列方式</w:t>
            </w:r>
          </w:p>
        </w:tc>
        <w:tc>
          <w:tcPr>
            <w:tcW w:w="2287" w:type="dxa"/>
            <w:gridSpan w:val="2"/>
            <w:noWrap/>
            <w:vAlign w:val="center"/>
          </w:tcPr>
          <w:p>
            <w:pPr>
              <w:rPr>
                <w:rFonts w:ascii="宋体" w:hAnsi="宋体"/>
              </w:rPr>
            </w:pPr>
            <w:r>
              <w:rPr>
                <w:rFonts w:hint="eastAsia" w:ascii="宋体" w:hAnsi="宋体"/>
              </w:rPr>
              <w:t>L</w:t>
            </w:r>
          </w:p>
        </w:tc>
        <w:tc>
          <w:tcPr>
            <w:tcW w:w="2714" w:type="dxa"/>
            <w:noWrap/>
            <w:vAlign w:val="top"/>
          </w:tcPr>
          <w:p>
            <w:pPr>
              <w:rPr>
                <w:rFonts w:ascii="宋体" w:hAnsi="宋体"/>
              </w:rPr>
            </w:pPr>
            <w:r>
              <w:rPr>
                <w:rFonts w:hint="eastAsia" w:ascii="宋体" w:hAnsi="宋体"/>
              </w:rPr>
              <w:t>燃油规格、等级</w:t>
            </w:r>
          </w:p>
        </w:tc>
        <w:tc>
          <w:tcPr>
            <w:tcW w:w="852" w:type="dxa"/>
            <w:noWrap/>
            <w:vAlign w:val="top"/>
          </w:tcPr>
          <w:p>
            <w:pPr>
              <w:rPr>
                <w:rFonts w:ascii="宋体" w:hAnsi="宋体"/>
              </w:rPr>
            </w:pPr>
            <w:r>
              <w:rPr>
                <w:rFonts w:hint="eastAsia" w:ascii="宋体" w:hAnsi="宋体"/>
              </w:rPr>
              <w:t>中国0#(轻柴油)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766" w:type="dxa"/>
            <w:gridSpan w:val="2"/>
            <w:noWrap/>
            <w:vAlign w:val="top"/>
          </w:tcPr>
          <w:p>
            <w:pPr>
              <w:rPr>
                <w:rFonts w:ascii="宋体" w:hAnsi="宋体"/>
              </w:rPr>
            </w:pPr>
            <w:r>
              <w:rPr>
                <w:rFonts w:hint="eastAsia" w:ascii="宋体" w:hAnsi="宋体"/>
              </w:rPr>
              <w:t>缸径/行程（mm）</w:t>
            </w:r>
          </w:p>
        </w:tc>
        <w:tc>
          <w:tcPr>
            <w:tcW w:w="2287" w:type="dxa"/>
            <w:gridSpan w:val="2"/>
            <w:noWrap/>
            <w:vAlign w:val="center"/>
          </w:tcPr>
          <w:tbl>
            <w:tblPr>
              <w:tblStyle w:val="75"/>
              <w:tblW w:w="14100" w:type="dxa"/>
              <w:tblInd w:w="0" w:type="dxa"/>
              <w:tblLayout w:type="fixed"/>
              <w:tblCellMar>
                <w:top w:w="0" w:type="dxa"/>
                <w:left w:w="0" w:type="dxa"/>
                <w:bottom w:w="0" w:type="dxa"/>
                <w:right w:w="0" w:type="dxa"/>
              </w:tblCellMar>
            </w:tblPr>
            <w:tblGrid>
              <w:gridCol w:w="14100"/>
            </w:tblGrid>
            <w:tr>
              <w:tblPrEx>
                <w:tblCellMar>
                  <w:top w:w="0" w:type="dxa"/>
                  <w:left w:w="0" w:type="dxa"/>
                  <w:bottom w:w="0" w:type="dxa"/>
                  <w:right w:w="0" w:type="dxa"/>
                </w:tblCellMar>
              </w:tblPrEx>
              <w:tc>
                <w:tcPr>
                  <w:tcW w:w="2595" w:type="dxa"/>
                  <w:shd w:val="clear" w:color="auto" w:fill="auto"/>
                  <w:noWrap w:val="0"/>
                  <w:tcMar>
                    <w:top w:w="75" w:type="dxa"/>
                    <w:left w:w="75" w:type="dxa"/>
                    <w:bottom w:w="75" w:type="dxa"/>
                    <w:right w:w="75" w:type="dxa"/>
                  </w:tcMar>
                  <w:vAlign w:val="top"/>
                </w:tcPr>
                <w:p>
                  <w:pPr>
                    <w:rPr>
                      <w:rFonts w:ascii="宋体" w:hAnsi="宋体"/>
                    </w:rPr>
                  </w:pPr>
                  <w:r>
                    <w:rPr>
                      <w:rFonts w:hint="eastAsia" w:ascii="宋体" w:hAnsi="宋体"/>
                    </w:rPr>
                    <w:t>140/</w:t>
                  </w:r>
                  <w:r>
                    <w:rPr>
                      <w:rFonts w:ascii="宋体" w:hAnsi="宋体"/>
                    </w:rPr>
                    <w:t>1</w:t>
                  </w:r>
                  <w:r>
                    <w:rPr>
                      <w:rFonts w:hint="eastAsia" w:ascii="宋体" w:hAnsi="宋体"/>
                    </w:rPr>
                    <w:t>52</w:t>
                  </w:r>
                </w:p>
              </w:tc>
            </w:tr>
          </w:tbl>
          <w:p>
            <w:pPr>
              <w:rPr>
                <w:rFonts w:ascii="宋体" w:hAnsi="宋体"/>
              </w:rPr>
            </w:pPr>
          </w:p>
        </w:tc>
        <w:tc>
          <w:tcPr>
            <w:tcW w:w="2714" w:type="dxa"/>
            <w:noWrap/>
            <w:vAlign w:val="top"/>
          </w:tcPr>
          <w:p>
            <w:pPr>
              <w:rPr>
                <w:rFonts w:ascii="宋体" w:hAnsi="宋体"/>
              </w:rPr>
            </w:pPr>
            <w:r>
              <w:rPr>
                <w:rFonts w:hint="eastAsia" w:ascii="宋体" w:hAnsi="宋体"/>
              </w:rPr>
              <w:t>燃油消耗率（g/kw.h）</w:t>
            </w:r>
          </w:p>
        </w:tc>
        <w:tc>
          <w:tcPr>
            <w:tcW w:w="852" w:type="dxa"/>
            <w:noWrap/>
            <w:vAlign w:val="top"/>
          </w:tcPr>
          <w:p>
            <w:pPr>
              <w:rPr>
                <w:rFonts w:ascii="宋体" w:hAnsi="宋体"/>
              </w:rPr>
            </w:pPr>
            <w:r>
              <w:rPr>
                <w:rFonts w:hint="eastAsia" w:ascii="宋体" w:hAnsi="宋体"/>
                <w:u w:val="dotted"/>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766" w:type="dxa"/>
            <w:gridSpan w:val="2"/>
            <w:noWrap/>
            <w:vAlign w:val="top"/>
          </w:tcPr>
          <w:p>
            <w:pPr>
              <w:rPr>
                <w:rFonts w:ascii="宋体" w:hAnsi="宋体"/>
              </w:rPr>
            </w:pPr>
            <w:r>
              <w:rPr>
                <w:rFonts w:hint="eastAsia" w:ascii="宋体" w:hAnsi="宋体"/>
              </w:rPr>
              <w:t>气缸总容积（L）</w:t>
            </w:r>
          </w:p>
        </w:tc>
        <w:tc>
          <w:tcPr>
            <w:tcW w:w="2287" w:type="dxa"/>
            <w:gridSpan w:val="2"/>
            <w:noWrap/>
            <w:vAlign w:val="center"/>
          </w:tcPr>
          <w:p>
            <w:pPr>
              <w:rPr>
                <w:rFonts w:ascii="宋体" w:hAnsi="宋体"/>
              </w:rPr>
            </w:pPr>
            <w:r>
              <w:rPr>
                <w:rFonts w:hint="eastAsia" w:ascii="宋体" w:hAnsi="宋体"/>
              </w:rPr>
              <w:t>14</w:t>
            </w:r>
          </w:p>
        </w:tc>
        <w:tc>
          <w:tcPr>
            <w:tcW w:w="2714" w:type="dxa"/>
            <w:noWrap/>
            <w:vAlign w:val="top"/>
          </w:tcPr>
          <w:p>
            <w:pPr>
              <w:rPr>
                <w:rFonts w:ascii="宋体" w:hAnsi="宋体"/>
              </w:rPr>
            </w:pPr>
            <w:r>
              <w:rPr>
                <w:rFonts w:hint="eastAsia" w:ascii="宋体" w:hAnsi="宋体"/>
              </w:rPr>
              <w:t>润滑油规格、等级</w:t>
            </w:r>
          </w:p>
        </w:tc>
        <w:tc>
          <w:tcPr>
            <w:tcW w:w="852" w:type="dxa"/>
            <w:noWrap/>
            <w:vAlign w:val="top"/>
          </w:tcPr>
          <w:p>
            <w:pPr>
              <w:rPr>
                <w:rFonts w:ascii="宋体" w:hAnsi="宋体"/>
              </w:rPr>
            </w:pPr>
            <w:r>
              <w:rPr>
                <w:rFonts w:ascii="宋体" w:hAnsi="宋体"/>
              </w:rPr>
              <w:t>API-C</w:t>
            </w:r>
            <w:r>
              <w:rPr>
                <w:rFonts w:hint="eastAsia" w:ascii="宋体" w:hAnsi="宋体"/>
              </w:rPr>
              <w:t>F级以上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766" w:type="dxa"/>
            <w:gridSpan w:val="2"/>
            <w:noWrap/>
            <w:vAlign w:val="top"/>
          </w:tcPr>
          <w:p>
            <w:pPr>
              <w:rPr>
                <w:rFonts w:ascii="宋体" w:hAnsi="宋体"/>
              </w:rPr>
            </w:pPr>
            <w:r>
              <w:rPr>
                <w:rFonts w:hint="eastAsia" w:ascii="宋体" w:hAnsi="宋体"/>
              </w:rPr>
              <w:t>压缩比</w:t>
            </w:r>
          </w:p>
        </w:tc>
        <w:tc>
          <w:tcPr>
            <w:tcW w:w="2287" w:type="dxa"/>
            <w:gridSpan w:val="2"/>
            <w:noWrap/>
            <w:vAlign w:val="center"/>
          </w:tcPr>
          <w:p>
            <w:pPr>
              <w:rPr>
                <w:rFonts w:ascii="宋体" w:hAnsi="宋体"/>
              </w:rPr>
            </w:pPr>
            <w:r>
              <w:rPr>
                <w:rFonts w:hint="eastAsia" w:ascii="宋体" w:hAnsi="宋体"/>
              </w:rPr>
              <w:t>14.5：1</w:t>
            </w:r>
          </w:p>
        </w:tc>
        <w:tc>
          <w:tcPr>
            <w:tcW w:w="2714" w:type="dxa"/>
            <w:noWrap/>
            <w:vAlign w:val="top"/>
          </w:tcPr>
          <w:p>
            <w:pPr>
              <w:rPr>
                <w:rFonts w:ascii="宋体" w:hAnsi="宋体"/>
              </w:rPr>
            </w:pPr>
            <w:r>
              <w:rPr>
                <w:rFonts w:hint="eastAsia" w:ascii="宋体" w:hAnsi="宋体"/>
              </w:rPr>
              <w:t>润滑油总容量（L）</w:t>
            </w:r>
          </w:p>
        </w:tc>
        <w:tc>
          <w:tcPr>
            <w:tcW w:w="852" w:type="dxa"/>
            <w:noWrap/>
            <w:vAlign w:val="top"/>
          </w:tcPr>
          <w:p>
            <w:pPr>
              <w:rPr>
                <w:rFonts w:ascii="宋体" w:hAnsi="宋体"/>
              </w:rPr>
            </w:pPr>
            <w:r>
              <w:rPr>
                <w:rFonts w:hint="eastAsia" w:ascii="宋体" w:hAnsi="宋体"/>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766" w:type="dxa"/>
            <w:gridSpan w:val="2"/>
            <w:noWrap/>
            <w:vAlign w:val="top"/>
          </w:tcPr>
          <w:p>
            <w:pPr>
              <w:rPr>
                <w:rFonts w:ascii="宋体" w:hAnsi="宋体"/>
              </w:rPr>
            </w:pPr>
            <w:r>
              <w:rPr>
                <w:rFonts w:hint="eastAsia" w:ascii="宋体" w:hAnsi="宋体"/>
              </w:rPr>
              <w:t>进气方式</w:t>
            </w:r>
          </w:p>
        </w:tc>
        <w:tc>
          <w:tcPr>
            <w:tcW w:w="2287" w:type="dxa"/>
            <w:gridSpan w:val="2"/>
            <w:noWrap/>
            <w:vAlign w:val="center"/>
          </w:tcPr>
          <w:p>
            <w:pPr>
              <w:rPr>
                <w:rFonts w:ascii="宋体" w:hAnsi="宋体"/>
              </w:rPr>
            </w:pPr>
            <w:r>
              <w:rPr>
                <w:rFonts w:hint="eastAsia" w:ascii="宋体" w:hAnsi="宋体"/>
              </w:rPr>
              <w:t>涡轮增压</w:t>
            </w:r>
          </w:p>
        </w:tc>
        <w:tc>
          <w:tcPr>
            <w:tcW w:w="2714" w:type="dxa"/>
            <w:noWrap/>
            <w:vAlign w:val="top"/>
          </w:tcPr>
          <w:p>
            <w:pPr>
              <w:rPr>
                <w:rFonts w:ascii="宋体" w:hAnsi="宋体"/>
              </w:rPr>
            </w:pPr>
            <w:r>
              <w:rPr>
                <w:rFonts w:hint="eastAsia" w:ascii="宋体" w:hAnsi="宋体"/>
              </w:rPr>
              <w:t>最高润滑油温度（℃）</w:t>
            </w:r>
          </w:p>
        </w:tc>
        <w:tc>
          <w:tcPr>
            <w:tcW w:w="852" w:type="dxa"/>
            <w:noWrap/>
            <w:vAlign w:val="top"/>
          </w:tcPr>
          <w:p>
            <w:pPr>
              <w:rPr>
                <w:rFonts w:ascii="宋体" w:hAnsi="宋体"/>
              </w:rPr>
            </w:pPr>
            <w:r>
              <w:rPr>
                <w:rFonts w:hint="eastAsia" w:ascii="宋体" w:hAnsi="宋体"/>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766" w:type="dxa"/>
            <w:gridSpan w:val="2"/>
            <w:noWrap/>
            <w:vAlign w:val="top"/>
          </w:tcPr>
          <w:p>
            <w:pPr>
              <w:rPr>
                <w:rFonts w:ascii="宋体" w:hAnsi="宋体"/>
              </w:rPr>
            </w:pPr>
            <w:r>
              <w:rPr>
                <w:rFonts w:hint="eastAsia" w:ascii="宋体" w:hAnsi="宋体"/>
              </w:rPr>
              <w:t>调速方式</w:t>
            </w:r>
          </w:p>
        </w:tc>
        <w:tc>
          <w:tcPr>
            <w:tcW w:w="2287" w:type="dxa"/>
            <w:gridSpan w:val="2"/>
            <w:noWrap/>
            <w:vAlign w:val="center"/>
          </w:tcPr>
          <w:p>
            <w:pPr>
              <w:rPr>
                <w:rFonts w:ascii="宋体" w:hAnsi="宋体"/>
              </w:rPr>
            </w:pPr>
            <w:r>
              <w:rPr>
                <w:rFonts w:hint="eastAsia" w:ascii="宋体" w:hAnsi="宋体"/>
              </w:rPr>
              <w:t>电子调速</w:t>
            </w:r>
          </w:p>
        </w:tc>
        <w:tc>
          <w:tcPr>
            <w:tcW w:w="2714" w:type="dxa"/>
            <w:noWrap/>
            <w:vAlign w:val="top"/>
          </w:tcPr>
          <w:p>
            <w:pPr>
              <w:rPr>
                <w:rFonts w:ascii="宋体" w:hAnsi="宋体"/>
              </w:rPr>
            </w:pPr>
            <w:r>
              <w:rPr>
                <w:rFonts w:hint="eastAsia" w:ascii="宋体" w:hAnsi="宋体"/>
              </w:rPr>
              <w:t>排烟最高温度（℃）</w:t>
            </w:r>
          </w:p>
        </w:tc>
        <w:tc>
          <w:tcPr>
            <w:tcW w:w="852" w:type="dxa"/>
            <w:noWrap/>
            <w:vAlign w:val="top"/>
          </w:tcPr>
          <w:p>
            <w:pPr>
              <w:rPr>
                <w:rFonts w:ascii="宋体" w:hAnsi="宋体"/>
              </w:rPr>
            </w:pPr>
            <w:r>
              <w:rPr>
                <w:rFonts w:hint="eastAsia" w:ascii="宋体" w:hAnsi="宋体"/>
              </w:rPr>
              <w:t>580/600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619" w:type="dxa"/>
            <w:gridSpan w:val="6"/>
            <w:noWrap/>
            <w:vAlign w:val="top"/>
          </w:tcPr>
          <w:p>
            <w:pPr>
              <w:rPr>
                <w:rFonts w:ascii="宋体" w:hAnsi="宋体"/>
                <w:b/>
                <w:u w:val="single"/>
              </w:rPr>
            </w:pPr>
            <w:r>
              <w:rPr>
                <w:rFonts w:hint="eastAsia" w:ascii="宋体" w:hAnsi="宋体"/>
                <w:b/>
                <w:sz w:val="30"/>
              </w:rPr>
              <w:t>发电机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755" w:type="dxa"/>
            <w:noWrap/>
            <w:vAlign w:val="top"/>
          </w:tcPr>
          <w:p>
            <w:pPr>
              <w:rPr>
                <w:rFonts w:ascii="宋体" w:hAnsi="宋体"/>
              </w:rPr>
            </w:pPr>
            <w:r>
              <w:rPr>
                <w:rFonts w:hint="eastAsia" w:ascii="宋体" w:hAnsi="宋体"/>
              </w:rPr>
              <w:t>电压调整范围</w:t>
            </w:r>
          </w:p>
        </w:tc>
        <w:tc>
          <w:tcPr>
            <w:tcW w:w="2298" w:type="dxa"/>
            <w:gridSpan w:val="3"/>
            <w:noWrap/>
            <w:vAlign w:val="top"/>
          </w:tcPr>
          <w:p>
            <w:pPr>
              <w:rPr>
                <w:rFonts w:ascii="宋体" w:hAnsi="宋体"/>
              </w:rPr>
            </w:pPr>
            <w:r>
              <w:rPr>
                <w:rFonts w:hint="eastAsia" w:ascii="宋体" w:hAnsi="宋体"/>
              </w:rPr>
              <w:t>≥±5%</w:t>
            </w:r>
          </w:p>
        </w:tc>
        <w:tc>
          <w:tcPr>
            <w:tcW w:w="2714" w:type="dxa"/>
            <w:noWrap/>
            <w:vAlign w:val="top"/>
          </w:tcPr>
          <w:p>
            <w:pPr>
              <w:rPr>
                <w:rFonts w:ascii="宋体" w:hAnsi="宋体"/>
              </w:rPr>
            </w:pPr>
            <w:r>
              <w:rPr>
                <w:rFonts w:hint="eastAsia" w:ascii="宋体" w:hAnsi="宋体"/>
              </w:rPr>
              <w:t>励磁方式</w:t>
            </w:r>
          </w:p>
        </w:tc>
        <w:tc>
          <w:tcPr>
            <w:tcW w:w="852" w:type="dxa"/>
            <w:noWrap/>
            <w:vAlign w:val="top"/>
          </w:tcPr>
          <w:p>
            <w:pPr>
              <w:rPr>
                <w:rFonts w:ascii="宋体" w:hAnsi="宋体"/>
              </w:rPr>
            </w:pPr>
            <w:r>
              <w:rPr>
                <w:rFonts w:hint="eastAsia" w:ascii="宋体" w:hAnsi="宋体"/>
              </w:rPr>
              <w:t>无刷自励式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755" w:type="dxa"/>
            <w:noWrap/>
            <w:vAlign w:val="top"/>
          </w:tcPr>
          <w:p>
            <w:pPr>
              <w:rPr>
                <w:rFonts w:ascii="宋体" w:hAnsi="宋体"/>
              </w:rPr>
            </w:pPr>
            <w:r>
              <w:rPr>
                <w:rFonts w:hint="eastAsia" w:ascii="宋体" w:hAnsi="宋体"/>
              </w:rPr>
              <w:t>稳态电压调整率</w:t>
            </w:r>
          </w:p>
        </w:tc>
        <w:tc>
          <w:tcPr>
            <w:tcW w:w="2298" w:type="dxa"/>
            <w:gridSpan w:val="3"/>
            <w:noWrap/>
            <w:vAlign w:val="top"/>
          </w:tcPr>
          <w:p>
            <w:pPr>
              <w:rPr>
                <w:rFonts w:ascii="宋体" w:hAnsi="宋体"/>
              </w:rPr>
            </w:pPr>
            <w:r>
              <w:rPr>
                <w:rFonts w:hint="eastAsia" w:ascii="宋体" w:hAnsi="宋体"/>
              </w:rPr>
              <w:t>±0.5%</w:t>
            </w:r>
          </w:p>
        </w:tc>
        <w:tc>
          <w:tcPr>
            <w:tcW w:w="2714" w:type="dxa"/>
            <w:noWrap/>
            <w:vAlign w:val="top"/>
          </w:tcPr>
          <w:p>
            <w:pPr>
              <w:rPr>
                <w:rFonts w:ascii="宋体" w:hAnsi="宋体"/>
              </w:rPr>
            </w:pPr>
            <w:r>
              <w:rPr>
                <w:rFonts w:hint="eastAsia" w:ascii="宋体" w:hAnsi="宋体"/>
              </w:rPr>
              <w:t>电压控制方式</w:t>
            </w:r>
          </w:p>
        </w:tc>
        <w:tc>
          <w:tcPr>
            <w:tcW w:w="852" w:type="dxa"/>
            <w:noWrap/>
            <w:vAlign w:val="top"/>
          </w:tcPr>
          <w:p>
            <w:pPr>
              <w:rPr>
                <w:rFonts w:ascii="宋体" w:hAnsi="宋体"/>
              </w:rPr>
            </w:pPr>
            <w:r>
              <w:rPr>
                <w:rFonts w:hint="eastAsia" w:ascii="宋体" w:hAnsi="宋体"/>
              </w:rPr>
              <w:t>AVR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755" w:type="dxa"/>
            <w:noWrap/>
            <w:vAlign w:val="top"/>
          </w:tcPr>
          <w:p>
            <w:pPr>
              <w:rPr>
                <w:rFonts w:ascii="宋体" w:hAnsi="宋体"/>
              </w:rPr>
            </w:pPr>
            <w:r>
              <w:rPr>
                <w:rFonts w:hint="eastAsia" w:ascii="宋体" w:hAnsi="宋体"/>
              </w:rPr>
              <w:t>稳态频率调整率</w:t>
            </w:r>
          </w:p>
        </w:tc>
        <w:tc>
          <w:tcPr>
            <w:tcW w:w="2298" w:type="dxa"/>
            <w:gridSpan w:val="3"/>
            <w:noWrap/>
            <w:vAlign w:val="top"/>
          </w:tcPr>
          <w:p>
            <w:pPr>
              <w:rPr>
                <w:rFonts w:ascii="宋体" w:hAnsi="宋体"/>
              </w:rPr>
            </w:pPr>
            <w:r>
              <w:rPr>
                <w:rFonts w:hint="eastAsia" w:ascii="宋体" w:hAnsi="宋体"/>
              </w:rPr>
              <w:t>≤1%</w:t>
            </w:r>
          </w:p>
        </w:tc>
        <w:tc>
          <w:tcPr>
            <w:tcW w:w="2714" w:type="dxa"/>
            <w:noWrap/>
            <w:vAlign w:val="top"/>
          </w:tcPr>
          <w:p>
            <w:pPr>
              <w:rPr>
                <w:rFonts w:ascii="宋体" w:hAnsi="宋体"/>
              </w:rPr>
            </w:pPr>
            <w:r>
              <w:rPr>
                <w:rFonts w:hint="eastAsia" w:ascii="宋体" w:hAnsi="宋体"/>
              </w:rPr>
              <w:t>瞬态电压调整率</w:t>
            </w:r>
          </w:p>
        </w:tc>
        <w:tc>
          <w:tcPr>
            <w:tcW w:w="852" w:type="dxa"/>
            <w:noWrap/>
            <w:vAlign w:val="top"/>
          </w:tcPr>
          <w:p>
            <w:pPr>
              <w:rPr>
                <w:rFonts w:ascii="宋体" w:hAnsi="宋体"/>
              </w:rPr>
            </w:pPr>
            <w:r>
              <w:rPr>
                <w:rFonts w:hint="eastAsia" w:ascii="宋体" w:hAnsi="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755" w:type="dxa"/>
            <w:noWrap/>
            <w:vAlign w:val="top"/>
          </w:tcPr>
          <w:p>
            <w:pPr>
              <w:rPr>
                <w:rFonts w:ascii="宋体" w:hAnsi="宋体"/>
              </w:rPr>
            </w:pPr>
            <w:r>
              <w:rPr>
                <w:rFonts w:hint="eastAsia" w:ascii="宋体" w:hAnsi="宋体"/>
              </w:rPr>
              <w:t>温升</w:t>
            </w:r>
          </w:p>
        </w:tc>
        <w:tc>
          <w:tcPr>
            <w:tcW w:w="2298" w:type="dxa"/>
            <w:gridSpan w:val="3"/>
            <w:noWrap/>
            <w:vAlign w:val="top"/>
          </w:tcPr>
          <w:p>
            <w:pPr>
              <w:rPr>
                <w:rFonts w:ascii="宋体" w:hAnsi="宋体"/>
              </w:rPr>
            </w:pPr>
            <w:r>
              <w:rPr>
                <w:rFonts w:ascii="宋体" w:hAnsi="宋体"/>
              </w:rPr>
              <w:t>H</w:t>
            </w:r>
            <w:r>
              <w:rPr>
                <w:rFonts w:hint="eastAsia" w:ascii="宋体" w:hAnsi="宋体" w:cs="幼圆+′_x0003_..."/>
                <w:color w:val="000000"/>
                <w:kern w:val="0"/>
                <w:szCs w:val="21"/>
              </w:rPr>
              <w:t>℃</w:t>
            </w:r>
          </w:p>
        </w:tc>
        <w:tc>
          <w:tcPr>
            <w:tcW w:w="2714" w:type="dxa"/>
            <w:noWrap/>
            <w:vAlign w:val="top"/>
          </w:tcPr>
          <w:p>
            <w:pPr>
              <w:rPr>
                <w:rFonts w:ascii="宋体" w:hAnsi="宋体"/>
              </w:rPr>
            </w:pPr>
            <w:r>
              <w:rPr>
                <w:rFonts w:hint="eastAsia" w:ascii="宋体" w:hAnsi="宋体"/>
              </w:rPr>
              <w:t>频率稳定时间</w:t>
            </w:r>
          </w:p>
        </w:tc>
        <w:tc>
          <w:tcPr>
            <w:tcW w:w="852" w:type="dxa"/>
            <w:noWrap/>
            <w:vAlign w:val="top"/>
          </w:tcPr>
          <w:p>
            <w:pPr>
              <w:rPr>
                <w:rFonts w:ascii="宋体" w:hAnsi="宋体"/>
              </w:rPr>
            </w:pPr>
            <w:r>
              <w:rPr>
                <w:rFonts w:hint="eastAsia" w:ascii="宋体" w:hAnsi="宋体"/>
              </w:rPr>
              <w:t>≤3S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755" w:type="dxa"/>
            <w:noWrap/>
            <w:vAlign w:val="top"/>
          </w:tcPr>
          <w:p>
            <w:pPr>
              <w:rPr>
                <w:rFonts w:ascii="宋体" w:hAnsi="宋体"/>
              </w:rPr>
            </w:pPr>
            <w:r>
              <w:rPr>
                <w:rFonts w:hint="eastAsia" w:ascii="宋体" w:hAnsi="宋体"/>
              </w:rPr>
              <w:t>绝缘等级</w:t>
            </w:r>
          </w:p>
        </w:tc>
        <w:tc>
          <w:tcPr>
            <w:tcW w:w="2298" w:type="dxa"/>
            <w:gridSpan w:val="3"/>
            <w:noWrap/>
            <w:vAlign w:val="top"/>
          </w:tcPr>
          <w:p>
            <w:pPr>
              <w:rPr>
                <w:rFonts w:ascii="宋体" w:hAnsi="宋体"/>
              </w:rPr>
            </w:pPr>
            <w:r>
              <w:rPr>
                <w:rFonts w:hint="eastAsia" w:ascii="宋体" w:hAnsi="宋体"/>
              </w:rPr>
              <w:t>H级</w:t>
            </w:r>
          </w:p>
        </w:tc>
        <w:tc>
          <w:tcPr>
            <w:tcW w:w="2714" w:type="dxa"/>
            <w:noWrap/>
            <w:vAlign w:val="top"/>
          </w:tcPr>
          <w:p>
            <w:pPr>
              <w:rPr>
                <w:rFonts w:ascii="宋体" w:hAnsi="宋体"/>
              </w:rPr>
            </w:pPr>
            <w:r>
              <w:rPr>
                <w:rFonts w:hint="eastAsia" w:ascii="宋体" w:hAnsi="宋体"/>
              </w:rPr>
              <w:t>过电流</w:t>
            </w:r>
          </w:p>
        </w:tc>
        <w:tc>
          <w:tcPr>
            <w:tcW w:w="852" w:type="dxa"/>
            <w:noWrap/>
            <w:vAlign w:val="top"/>
          </w:tcPr>
          <w:p>
            <w:pPr>
              <w:rPr>
                <w:rFonts w:ascii="宋体" w:hAnsi="宋体"/>
              </w:rPr>
            </w:pPr>
            <w:r>
              <w:rPr>
                <w:rFonts w:hint="eastAsia" w:ascii="宋体" w:hAnsi="宋体"/>
              </w:rPr>
              <w:t>3～5le≥5S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755" w:type="dxa"/>
            <w:noWrap/>
            <w:vAlign w:val="top"/>
          </w:tcPr>
          <w:p>
            <w:pPr>
              <w:rPr>
                <w:rFonts w:ascii="宋体" w:hAnsi="宋体"/>
              </w:rPr>
            </w:pPr>
            <w:r>
              <w:rPr>
                <w:rFonts w:hint="eastAsia" w:ascii="宋体" w:hAnsi="宋体"/>
              </w:rPr>
              <w:t>防护等级</w:t>
            </w:r>
          </w:p>
        </w:tc>
        <w:tc>
          <w:tcPr>
            <w:tcW w:w="2298" w:type="dxa"/>
            <w:gridSpan w:val="3"/>
            <w:noWrap/>
            <w:vAlign w:val="top"/>
          </w:tcPr>
          <w:p>
            <w:pPr>
              <w:rPr>
                <w:rFonts w:ascii="宋体" w:hAnsi="宋体"/>
              </w:rPr>
            </w:pPr>
            <w:r>
              <w:rPr>
                <w:rFonts w:hint="eastAsia" w:ascii="宋体" w:hAnsi="宋体"/>
              </w:rPr>
              <w:t>IP23级</w:t>
            </w:r>
          </w:p>
        </w:tc>
        <w:tc>
          <w:tcPr>
            <w:tcW w:w="2714" w:type="dxa"/>
            <w:noWrap/>
            <w:vAlign w:val="top"/>
          </w:tcPr>
          <w:p>
            <w:pPr>
              <w:rPr>
                <w:rFonts w:ascii="宋体" w:hAnsi="宋体"/>
              </w:rPr>
            </w:pPr>
            <w:r>
              <w:rPr>
                <w:rFonts w:hint="eastAsia" w:ascii="宋体" w:hAnsi="宋体"/>
              </w:rPr>
              <w:t>过载能力</w:t>
            </w:r>
          </w:p>
        </w:tc>
        <w:tc>
          <w:tcPr>
            <w:tcW w:w="852" w:type="dxa"/>
            <w:noWrap/>
            <w:vAlign w:val="top"/>
          </w:tcPr>
          <w:p>
            <w:pPr>
              <w:rPr>
                <w:rFonts w:ascii="宋体" w:hAnsi="宋体"/>
              </w:rPr>
            </w:pPr>
            <w:r>
              <w:rPr>
                <w:rFonts w:hint="eastAsia" w:ascii="宋体" w:hAnsi="宋体"/>
              </w:rPr>
              <w:t>1.5倍2分钟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755" w:type="dxa"/>
            <w:noWrap/>
            <w:vAlign w:val="top"/>
          </w:tcPr>
          <w:p>
            <w:pPr>
              <w:rPr>
                <w:rFonts w:ascii="宋体" w:hAnsi="宋体"/>
              </w:rPr>
            </w:pPr>
            <w:r>
              <w:rPr>
                <w:rFonts w:hint="eastAsia" w:ascii="宋体" w:hAnsi="宋体"/>
              </w:rPr>
              <w:t>效率</w:t>
            </w:r>
          </w:p>
        </w:tc>
        <w:tc>
          <w:tcPr>
            <w:tcW w:w="2298" w:type="dxa"/>
            <w:gridSpan w:val="3"/>
            <w:noWrap/>
            <w:vAlign w:val="top"/>
          </w:tcPr>
          <w:p>
            <w:pPr>
              <w:rPr>
                <w:rFonts w:ascii="宋体" w:hAnsi="宋体"/>
              </w:rPr>
            </w:pPr>
            <w:r>
              <w:rPr>
                <w:rFonts w:hint="eastAsia" w:ascii="宋体" w:hAnsi="宋体"/>
              </w:rPr>
              <w:t>94.4%</w:t>
            </w:r>
          </w:p>
        </w:tc>
        <w:tc>
          <w:tcPr>
            <w:tcW w:w="2714" w:type="dxa"/>
            <w:noWrap/>
            <w:vAlign w:val="top"/>
          </w:tcPr>
          <w:p>
            <w:pPr>
              <w:rPr>
                <w:rFonts w:ascii="宋体" w:hAnsi="宋体"/>
              </w:rPr>
            </w:pPr>
            <w:r>
              <w:rPr>
                <w:rFonts w:hint="eastAsia" w:ascii="宋体" w:hAnsi="宋体"/>
              </w:rPr>
              <w:t>短路能力</w:t>
            </w:r>
          </w:p>
        </w:tc>
        <w:tc>
          <w:tcPr>
            <w:tcW w:w="852" w:type="dxa"/>
            <w:noWrap/>
            <w:vAlign w:val="top"/>
          </w:tcPr>
          <w:p>
            <w:pPr>
              <w:rPr>
                <w:rFonts w:ascii="宋体" w:hAnsi="宋体"/>
              </w:rPr>
            </w:pPr>
            <w:r>
              <w:rPr>
                <w:rFonts w:hint="eastAsia" w:ascii="宋体" w:hAnsi="宋体"/>
              </w:rPr>
              <w:t>3倍2秒钟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755" w:type="dxa"/>
            <w:noWrap/>
            <w:vAlign w:val="top"/>
          </w:tcPr>
          <w:p>
            <w:pPr>
              <w:rPr>
                <w:rFonts w:ascii="宋体" w:hAnsi="宋体"/>
              </w:rPr>
            </w:pPr>
            <w:r>
              <w:rPr>
                <w:rFonts w:hint="eastAsia" w:ascii="宋体" w:hAnsi="宋体"/>
              </w:rPr>
              <w:t>电话干扰系数</w:t>
            </w:r>
          </w:p>
        </w:tc>
        <w:tc>
          <w:tcPr>
            <w:tcW w:w="2298" w:type="dxa"/>
            <w:gridSpan w:val="3"/>
            <w:noWrap/>
            <w:vAlign w:val="top"/>
          </w:tcPr>
          <w:p>
            <w:pPr>
              <w:rPr>
                <w:rFonts w:ascii="宋体" w:hAnsi="宋体"/>
              </w:rPr>
            </w:pPr>
            <w:r>
              <w:rPr>
                <w:rFonts w:hint="eastAsia" w:ascii="宋体" w:hAnsi="宋体"/>
              </w:rPr>
              <w:t>THF&lt;2%,  TIF&lt;50</w:t>
            </w:r>
          </w:p>
        </w:tc>
        <w:tc>
          <w:tcPr>
            <w:tcW w:w="2714" w:type="dxa"/>
            <w:noWrap/>
            <w:vAlign w:val="top"/>
          </w:tcPr>
          <w:p>
            <w:pPr>
              <w:rPr>
                <w:rFonts w:ascii="宋体" w:hAnsi="宋体"/>
              </w:rPr>
            </w:pPr>
            <w:r>
              <w:rPr>
                <w:rFonts w:hint="eastAsia" w:ascii="宋体" w:hAnsi="宋体"/>
              </w:rPr>
              <w:t>冷却方式</w:t>
            </w:r>
          </w:p>
        </w:tc>
        <w:tc>
          <w:tcPr>
            <w:tcW w:w="852" w:type="dxa"/>
            <w:noWrap/>
            <w:vAlign w:val="top"/>
          </w:tcPr>
          <w:p>
            <w:pPr>
              <w:rPr>
                <w:rFonts w:ascii="宋体" w:hAnsi="宋体"/>
              </w:rPr>
            </w:pPr>
            <w:r>
              <w:rPr>
                <w:rFonts w:hint="eastAsia" w:ascii="宋体" w:hAnsi="宋体"/>
              </w:rPr>
              <w:t>自冷式</w:t>
            </w:r>
          </w:p>
        </w:tc>
      </w:tr>
    </w:tbl>
    <w:p>
      <w:pPr>
        <w:pStyle w:val="2"/>
        <w:ind w:firstLine="0" w:firstLineChars="0"/>
      </w:pPr>
      <w:r>
        <w:rPr>
          <w:rFonts w:hint="eastAsia"/>
          <w:lang w:val="en-US" w:eastAsia="zh-CN"/>
        </w:rPr>
        <w:t>160KW发电机组 技术参数要求</w:t>
      </w:r>
    </w:p>
    <w:p>
      <w:pPr>
        <w:pStyle w:val="2"/>
        <w:ind w:firstLine="0" w:firstLineChars="0"/>
      </w:pPr>
    </w:p>
    <w:tbl>
      <w:tblPr>
        <w:tblStyle w:val="75"/>
        <w:tblW w:w="8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6"/>
        <w:gridCol w:w="641"/>
        <w:gridCol w:w="1714"/>
        <w:gridCol w:w="91"/>
        <w:gridCol w:w="312"/>
        <w:gridCol w:w="2212"/>
        <w:gridCol w:w="443"/>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29" w:type="dxa"/>
            <w:gridSpan w:val="8"/>
            <w:noWrap/>
            <w:vAlign w:val="top"/>
          </w:tcPr>
          <w:p>
            <w:pPr>
              <w:rPr>
                <w:rFonts w:ascii="宋体" w:hAnsi="宋体"/>
              </w:rPr>
            </w:pPr>
            <w:r>
              <w:rPr>
                <w:rFonts w:hint="eastAsia" w:ascii="宋体" w:hAnsi="宋体"/>
                <w:b/>
                <w:sz w:val="28"/>
                <w:szCs w:val="28"/>
              </w:rPr>
              <w:t>柴油发电机组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512" w:type="dxa"/>
            <w:gridSpan w:val="4"/>
            <w:noWrap/>
            <w:vAlign w:val="top"/>
          </w:tcPr>
          <w:p>
            <w:pPr>
              <w:rPr>
                <w:rFonts w:ascii="宋体" w:hAnsi="宋体"/>
              </w:rPr>
            </w:pPr>
            <w:r>
              <w:rPr>
                <w:rFonts w:hint="eastAsia" w:ascii="宋体" w:hAnsi="宋体"/>
              </w:rPr>
              <w:t>常用功率（kW）</w:t>
            </w:r>
          </w:p>
        </w:tc>
        <w:tc>
          <w:tcPr>
            <w:tcW w:w="3917" w:type="dxa"/>
            <w:gridSpan w:val="4"/>
            <w:noWrap/>
            <w:vAlign w:val="top"/>
          </w:tcPr>
          <w:p>
            <w:pPr>
              <w:rPr>
                <w:rFonts w:ascii="宋体" w:hAnsi="宋体"/>
              </w:rPr>
            </w:pPr>
            <w:r>
              <w:rPr>
                <w:rFonts w:hint="eastAsia" w:ascii="宋体" w:hAnsi="宋体"/>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512" w:type="dxa"/>
            <w:gridSpan w:val="4"/>
            <w:noWrap/>
            <w:vAlign w:val="top"/>
          </w:tcPr>
          <w:p>
            <w:pPr>
              <w:rPr>
                <w:rFonts w:ascii="宋体" w:hAnsi="宋体"/>
              </w:rPr>
            </w:pPr>
            <w:r>
              <w:rPr>
                <w:rFonts w:hint="eastAsia" w:ascii="宋体" w:hAnsi="宋体"/>
              </w:rPr>
              <w:t>备用功率（KW）</w:t>
            </w:r>
          </w:p>
        </w:tc>
        <w:tc>
          <w:tcPr>
            <w:tcW w:w="3917" w:type="dxa"/>
            <w:gridSpan w:val="4"/>
            <w:noWrap/>
            <w:vAlign w:val="top"/>
          </w:tcPr>
          <w:p>
            <w:pPr>
              <w:rPr>
                <w:rFonts w:ascii="宋体" w:hAnsi="宋体"/>
              </w:rPr>
            </w:pPr>
            <w:r>
              <w:rPr>
                <w:rFonts w:hint="eastAsia" w:ascii="宋体" w:hAnsi="宋体"/>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512" w:type="dxa"/>
            <w:gridSpan w:val="4"/>
            <w:noWrap/>
            <w:vAlign w:val="top"/>
          </w:tcPr>
          <w:p>
            <w:pPr>
              <w:rPr>
                <w:rFonts w:ascii="宋体" w:hAnsi="宋体"/>
              </w:rPr>
            </w:pPr>
            <w:r>
              <w:rPr>
                <w:rFonts w:hint="eastAsia" w:ascii="宋体" w:hAnsi="宋体"/>
              </w:rPr>
              <w:t>输出容量（kVA）</w:t>
            </w:r>
          </w:p>
        </w:tc>
        <w:tc>
          <w:tcPr>
            <w:tcW w:w="3917" w:type="dxa"/>
            <w:gridSpan w:val="4"/>
            <w:noWrap/>
            <w:vAlign w:val="top"/>
          </w:tcPr>
          <w:p>
            <w:pPr>
              <w:rPr>
                <w:rFonts w:ascii="宋体" w:hAnsi="宋体"/>
              </w:rPr>
            </w:pPr>
            <w:r>
              <w:rPr>
                <w:rFonts w:hint="eastAsia" w:ascii="宋体" w:hAnsi="宋体"/>
              </w:rPr>
              <w:t>200/225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512" w:type="dxa"/>
            <w:gridSpan w:val="4"/>
            <w:noWrap/>
            <w:vAlign w:val="top"/>
          </w:tcPr>
          <w:p>
            <w:pPr>
              <w:rPr>
                <w:rFonts w:ascii="宋体" w:hAnsi="宋体"/>
              </w:rPr>
            </w:pPr>
            <w:r>
              <w:rPr>
                <w:rFonts w:hint="eastAsia" w:ascii="宋体" w:hAnsi="宋体"/>
              </w:rPr>
              <w:t>功率因数</w:t>
            </w:r>
          </w:p>
        </w:tc>
        <w:tc>
          <w:tcPr>
            <w:tcW w:w="3917" w:type="dxa"/>
            <w:gridSpan w:val="4"/>
            <w:noWrap/>
            <w:vAlign w:val="top"/>
          </w:tcPr>
          <w:p>
            <w:pPr>
              <w:rPr>
                <w:rFonts w:ascii="宋体" w:hAnsi="宋体"/>
              </w:rPr>
            </w:pPr>
            <w:r>
              <w:rPr>
                <w:rFonts w:ascii="宋体" w:hAnsi="宋体"/>
              </w:rPr>
              <w:t>0.8</w:t>
            </w:r>
            <w:r>
              <w:rPr>
                <w:rFonts w:hint="eastAsia" w:ascii="宋体" w:hAnsi="宋体"/>
              </w:rPr>
              <w:t>（滞后）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512" w:type="dxa"/>
            <w:gridSpan w:val="4"/>
            <w:noWrap/>
            <w:vAlign w:val="top"/>
          </w:tcPr>
          <w:p>
            <w:pPr>
              <w:rPr>
                <w:rFonts w:ascii="宋体" w:hAnsi="宋体"/>
              </w:rPr>
            </w:pPr>
            <w:r>
              <w:rPr>
                <w:rFonts w:hint="eastAsia" w:ascii="宋体" w:hAnsi="宋体"/>
              </w:rPr>
              <w:t>频率(Hz)</w:t>
            </w:r>
          </w:p>
        </w:tc>
        <w:tc>
          <w:tcPr>
            <w:tcW w:w="3917" w:type="dxa"/>
            <w:gridSpan w:val="4"/>
            <w:noWrap/>
            <w:vAlign w:val="top"/>
          </w:tcPr>
          <w:p>
            <w:pPr>
              <w:rPr>
                <w:rFonts w:ascii="宋体" w:hAnsi="宋体"/>
              </w:rPr>
            </w:pPr>
            <w:r>
              <w:rPr>
                <w:rFonts w:hint="eastAsia" w:ascii="宋体" w:hAnsi="宋体"/>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512" w:type="dxa"/>
            <w:gridSpan w:val="4"/>
            <w:noWrap/>
            <w:vAlign w:val="top"/>
          </w:tcPr>
          <w:p>
            <w:pPr>
              <w:rPr>
                <w:rFonts w:ascii="宋体" w:hAnsi="宋体"/>
              </w:rPr>
            </w:pPr>
            <w:r>
              <w:rPr>
                <w:rFonts w:hint="eastAsia" w:ascii="宋体" w:hAnsi="宋体"/>
              </w:rPr>
              <w:t>输出电压（V）</w:t>
            </w:r>
          </w:p>
        </w:tc>
        <w:tc>
          <w:tcPr>
            <w:tcW w:w="3917" w:type="dxa"/>
            <w:gridSpan w:val="4"/>
            <w:noWrap/>
            <w:vAlign w:val="top"/>
          </w:tcPr>
          <w:p>
            <w:pPr>
              <w:rPr>
                <w:rFonts w:ascii="宋体" w:hAnsi="宋体"/>
              </w:rPr>
            </w:pPr>
            <w:r>
              <w:rPr>
                <w:rFonts w:hint="eastAsia" w:ascii="宋体" w:hAnsi="宋体"/>
              </w:rPr>
              <w:t>400 / 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512" w:type="dxa"/>
            <w:gridSpan w:val="4"/>
            <w:noWrap/>
            <w:vAlign w:val="top"/>
          </w:tcPr>
          <w:p>
            <w:pPr>
              <w:rPr>
                <w:rFonts w:ascii="宋体" w:hAnsi="宋体"/>
              </w:rPr>
            </w:pPr>
            <w:r>
              <w:rPr>
                <w:rFonts w:hint="eastAsia" w:ascii="宋体" w:hAnsi="宋体"/>
              </w:rPr>
              <w:t>最大（长行/备用）输出电流（A）</w:t>
            </w:r>
          </w:p>
        </w:tc>
        <w:tc>
          <w:tcPr>
            <w:tcW w:w="3917" w:type="dxa"/>
            <w:gridSpan w:val="4"/>
            <w:noWrap/>
            <w:vAlign w:val="top"/>
          </w:tcPr>
          <w:p>
            <w:pPr>
              <w:rPr>
                <w:rFonts w:ascii="宋体" w:hAnsi="宋体"/>
              </w:rPr>
            </w:pPr>
            <w:r>
              <w:rPr>
                <w:rFonts w:hint="eastAsia" w:ascii="宋体" w:hAnsi="宋体"/>
              </w:rPr>
              <w:t>288/324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29" w:type="dxa"/>
            <w:gridSpan w:val="8"/>
            <w:noWrap/>
            <w:vAlign w:val="top"/>
          </w:tcPr>
          <w:p>
            <w:pPr>
              <w:rPr>
                <w:rFonts w:ascii="宋体" w:hAnsi="宋体"/>
                <w:b/>
                <w:u w:val="single"/>
              </w:rPr>
            </w:pPr>
            <w:r>
              <w:rPr>
                <w:rFonts w:hint="eastAsia" w:ascii="宋体" w:hAnsi="宋体"/>
                <w:b/>
                <w:sz w:val="30"/>
              </w:rPr>
              <w:t>柴油机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707" w:type="dxa"/>
            <w:gridSpan w:val="2"/>
            <w:noWrap/>
            <w:vAlign w:val="top"/>
          </w:tcPr>
          <w:p>
            <w:pPr>
              <w:rPr>
                <w:rFonts w:ascii="宋体" w:hAnsi="宋体"/>
              </w:rPr>
            </w:pPr>
            <w:r>
              <w:rPr>
                <w:rFonts w:hint="eastAsia" w:ascii="宋体" w:hAnsi="宋体"/>
              </w:rPr>
              <w:t>气缸数</w:t>
            </w:r>
          </w:p>
        </w:tc>
        <w:tc>
          <w:tcPr>
            <w:tcW w:w="2117" w:type="dxa"/>
            <w:gridSpan w:val="3"/>
            <w:noWrap/>
            <w:vAlign w:val="center"/>
          </w:tcPr>
          <w:p>
            <w:pPr>
              <w:rPr>
                <w:rFonts w:ascii="宋体" w:hAnsi="宋体"/>
              </w:rPr>
            </w:pPr>
            <w:r>
              <w:rPr>
                <w:rFonts w:hint="eastAsia" w:ascii="宋体" w:hAnsi="宋体"/>
              </w:rPr>
              <w:t>6</w:t>
            </w:r>
          </w:p>
        </w:tc>
        <w:tc>
          <w:tcPr>
            <w:tcW w:w="2655" w:type="dxa"/>
            <w:gridSpan w:val="2"/>
            <w:noWrap/>
            <w:vAlign w:val="top"/>
          </w:tcPr>
          <w:p>
            <w:pPr>
              <w:rPr>
                <w:rFonts w:ascii="宋体" w:hAnsi="宋体"/>
              </w:rPr>
            </w:pPr>
            <w:r>
              <w:rPr>
                <w:rFonts w:hint="eastAsia" w:ascii="宋体" w:hAnsi="宋体"/>
              </w:rPr>
              <w:t>最大输出功率（kW）</w:t>
            </w:r>
          </w:p>
        </w:tc>
        <w:tc>
          <w:tcPr>
            <w:tcW w:w="950" w:type="dxa"/>
            <w:noWrap/>
            <w:vAlign w:val="top"/>
          </w:tcPr>
          <w:p>
            <w:pPr>
              <w:rPr>
                <w:rFonts w:ascii="宋体" w:hAnsi="宋体"/>
              </w:rPr>
            </w:pPr>
            <w:r>
              <w:rPr>
                <w:rFonts w:hint="eastAsia" w:ascii="宋体" w:hAnsi="宋体"/>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707" w:type="dxa"/>
            <w:gridSpan w:val="2"/>
            <w:noWrap/>
            <w:vAlign w:val="top"/>
          </w:tcPr>
          <w:p>
            <w:pPr>
              <w:rPr>
                <w:rFonts w:ascii="宋体" w:hAnsi="宋体"/>
              </w:rPr>
            </w:pPr>
            <w:r>
              <w:rPr>
                <w:rFonts w:hint="eastAsia" w:ascii="宋体" w:hAnsi="宋体"/>
              </w:rPr>
              <w:t>气缸排列方式</w:t>
            </w:r>
          </w:p>
        </w:tc>
        <w:tc>
          <w:tcPr>
            <w:tcW w:w="2117" w:type="dxa"/>
            <w:gridSpan w:val="3"/>
            <w:noWrap/>
            <w:vAlign w:val="center"/>
          </w:tcPr>
          <w:p>
            <w:pPr>
              <w:rPr>
                <w:rFonts w:ascii="宋体" w:hAnsi="宋体"/>
              </w:rPr>
            </w:pPr>
            <w:r>
              <w:rPr>
                <w:rFonts w:hint="eastAsia" w:ascii="宋体" w:hAnsi="宋体"/>
              </w:rPr>
              <w:t>L</w:t>
            </w:r>
          </w:p>
        </w:tc>
        <w:tc>
          <w:tcPr>
            <w:tcW w:w="2655" w:type="dxa"/>
            <w:gridSpan w:val="2"/>
            <w:noWrap/>
            <w:vAlign w:val="top"/>
          </w:tcPr>
          <w:p>
            <w:pPr>
              <w:rPr>
                <w:rFonts w:ascii="宋体" w:hAnsi="宋体"/>
              </w:rPr>
            </w:pPr>
            <w:r>
              <w:rPr>
                <w:rFonts w:hint="eastAsia" w:ascii="宋体" w:hAnsi="宋体"/>
              </w:rPr>
              <w:t>燃油规格、等级</w:t>
            </w:r>
          </w:p>
        </w:tc>
        <w:tc>
          <w:tcPr>
            <w:tcW w:w="950" w:type="dxa"/>
            <w:noWrap/>
            <w:vAlign w:val="top"/>
          </w:tcPr>
          <w:p>
            <w:pPr>
              <w:rPr>
                <w:rFonts w:ascii="宋体" w:hAnsi="宋体"/>
              </w:rPr>
            </w:pPr>
            <w:r>
              <w:rPr>
                <w:rFonts w:hint="eastAsia" w:ascii="宋体" w:hAnsi="宋体"/>
              </w:rPr>
              <w:t>中国0#(轻柴油)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707" w:type="dxa"/>
            <w:gridSpan w:val="2"/>
            <w:noWrap/>
            <w:vAlign w:val="top"/>
          </w:tcPr>
          <w:p>
            <w:pPr>
              <w:rPr>
                <w:rFonts w:ascii="宋体" w:hAnsi="宋体"/>
              </w:rPr>
            </w:pPr>
            <w:r>
              <w:rPr>
                <w:rFonts w:hint="eastAsia" w:ascii="宋体" w:hAnsi="宋体"/>
              </w:rPr>
              <w:t>缸径/行程（mm）</w:t>
            </w:r>
          </w:p>
        </w:tc>
        <w:tc>
          <w:tcPr>
            <w:tcW w:w="2117" w:type="dxa"/>
            <w:gridSpan w:val="3"/>
            <w:noWrap/>
            <w:vAlign w:val="center"/>
          </w:tcPr>
          <w:p>
            <w:pPr>
              <w:rPr>
                <w:rFonts w:ascii="宋体" w:hAnsi="宋体"/>
              </w:rPr>
            </w:pPr>
            <w:r>
              <w:rPr>
                <w:rFonts w:hint="eastAsia" w:ascii="宋体" w:hAnsi="宋体"/>
              </w:rPr>
              <w:t>114/135</w:t>
            </w:r>
          </w:p>
        </w:tc>
        <w:tc>
          <w:tcPr>
            <w:tcW w:w="2655" w:type="dxa"/>
            <w:gridSpan w:val="2"/>
            <w:noWrap/>
            <w:vAlign w:val="top"/>
          </w:tcPr>
          <w:p>
            <w:pPr>
              <w:rPr>
                <w:rFonts w:ascii="宋体" w:hAnsi="宋体"/>
              </w:rPr>
            </w:pPr>
            <w:r>
              <w:rPr>
                <w:rFonts w:hint="eastAsia" w:ascii="宋体" w:hAnsi="宋体"/>
              </w:rPr>
              <w:t>燃油消耗率（g/kw.h）</w:t>
            </w:r>
          </w:p>
        </w:tc>
        <w:tc>
          <w:tcPr>
            <w:tcW w:w="950" w:type="dxa"/>
            <w:noWrap/>
            <w:vAlign w:val="top"/>
          </w:tcPr>
          <w:p>
            <w:pPr>
              <w:rPr>
                <w:rFonts w:ascii="宋体" w:hAnsi="宋体"/>
              </w:rPr>
            </w:pPr>
            <w:r>
              <w:rPr>
                <w:rFonts w:hint="eastAsia" w:ascii="宋体" w:hAnsi="宋体"/>
                <w:u w:val="dotted"/>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707" w:type="dxa"/>
            <w:gridSpan w:val="2"/>
            <w:noWrap/>
            <w:vAlign w:val="top"/>
          </w:tcPr>
          <w:p>
            <w:pPr>
              <w:rPr>
                <w:rFonts w:ascii="宋体" w:hAnsi="宋体"/>
              </w:rPr>
            </w:pPr>
            <w:r>
              <w:rPr>
                <w:rFonts w:hint="eastAsia" w:ascii="宋体" w:hAnsi="宋体"/>
              </w:rPr>
              <w:t>气缸总容积（L）</w:t>
            </w:r>
          </w:p>
        </w:tc>
        <w:tc>
          <w:tcPr>
            <w:tcW w:w="2117" w:type="dxa"/>
            <w:gridSpan w:val="3"/>
            <w:noWrap/>
            <w:vAlign w:val="center"/>
          </w:tcPr>
          <w:p>
            <w:pPr>
              <w:rPr>
                <w:rFonts w:ascii="宋体" w:hAnsi="宋体"/>
              </w:rPr>
            </w:pPr>
            <w:r>
              <w:rPr>
                <w:rFonts w:hint="eastAsia" w:ascii="宋体" w:hAnsi="宋体"/>
              </w:rPr>
              <w:t>8.3</w:t>
            </w:r>
          </w:p>
        </w:tc>
        <w:tc>
          <w:tcPr>
            <w:tcW w:w="2655" w:type="dxa"/>
            <w:gridSpan w:val="2"/>
            <w:noWrap/>
            <w:vAlign w:val="top"/>
          </w:tcPr>
          <w:p>
            <w:pPr>
              <w:rPr>
                <w:rFonts w:ascii="宋体" w:hAnsi="宋体"/>
              </w:rPr>
            </w:pPr>
            <w:r>
              <w:rPr>
                <w:rFonts w:hint="eastAsia" w:ascii="宋体" w:hAnsi="宋体"/>
              </w:rPr>
              <w:t>润滑油规格、等级</w:t>
            </w:r>
          </w:p>
        </w:tc>
        <w:tc>
          <w:tcPr>
            <w:tcW w:w="950" w:type="dxa"/>
            <w:noWrap/>
            <w:vAlign w:val="top"/>
          </w:tcPr>
          <w:p>
            <w:pPr>
              <w:rPr>
                <w:rFonts w:ascii="宋体" w:hAnsi="宋体"/>
              </w:rPr>
            </w:pPr>
            <w:r>
              <w:rPr>
                <w:rFonts w:ascii="宋体" w:hAnsi="宋体"/>
              </w:rPr>
              <w:t>API-C</w:t>
            </w:r>
            <w:r>
              <w:rPr>
                <w:rFonts w:hint="eastAsia" w:ascii="宋体" w:hAnsi="宋体"/>
              </w:rPr>
              <w:t>H级以上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707" w:type="dxa"/>
            <w:gridSpan w:val="2"/>
            <w:noWrap/>
            <w:vAlign w:val="top"/>
          </w:tcPr>
          <w:p>
            <w:pPr>
              <w:rPr>
                <w:rFonts w:ascii="宋体" w:hAnsi="宋体"/>
              </w:rPr>
            </w:pPr>
            <w:r>
              <w:rPr>
                <w:rFonts w:hint="eastAsia" w:ascii="宋体" w:hAnsi="宋体"/>
              </w:rPr>
              <w:t>压缩比</w:t>
            </w:r>
          </w:p>
        </w:tc>
        <w:tc>
          <w:tcPr>
            <w:tcW w:w="2117" w:type="dxa"/>
            <w:gridSpan w:val="3"/>
            <w:noWrap/>
            <w:vAlign w:val="center"/>
          </w:tcPr>
          <w:p>
            <w:pPr>
              <w:rPr>
                <w:rFonts w:ascii="宋体" w:hAnsi="宋体"/>
              </w:rPr>
            </w:pPr>
            <w:r>
              <w:rPr>
                <w:rFonts w:hint="eastAsia" w:ascii="宋体" w:hAnsi="宋体"/>
              </w:rPr>
              <w:t>18</w:t>
            </w:r>
            <w:r>
              <w:rPr>
                <w:rFonts w:hint="eastAsia" w:ascii="宋体" w:hAnsi="宋体"/>
                <w:b/>
              </w:rPr>
              <w:t>:</w:t>
            </w:r>
            <w:r>
              <w:rPr>
                <w:rFonts w:hint="eastAsia" w:ascii="宋体" w:hAnsi="宋体"/>
              </w:rPr>
              <w:t>1</w:t>
            </w:r>
          </w:p>
        </w:tc>
        <w:tc>
          <w:tcPr>
            <w:tcW w:w="2655" w:type="dxa"/>
            <w:gridSpan w:val="2"/>
            <w:noWrap/>
            <w:vAlign w:val="top"/>
          </w:tcPr>
          <w:p>
            <w:pPr>
              <w:rPr>
                <w:rFonts w:ascii="宋体" w:hAnsi="宋体"/>
              </w:rPr>
            </w:pPr>
            <w:r>
              <w:rPr>
                <w:rFonts w:hint="eastAsia" w:ascii="宋体" w:hAnsi="宋体"/>
              </w:rPr>
              <w:t>额定转速（RPM）</w:t>
            </w:r>
          </w:p>
        </w:tc>
        <w:tc>
          <w:tcPr>
            <w:tcW w:w="950" w:type="dxa"/>
            <w:noWrap/>
            <w:vAlign w:val="top"/>
          </w:tcPr>
          <w:p>
            <w:pPr>
              <w:rPr>
                <w:rFonts w:ascii="宋体" w:hAnsi="宋体"/>
              </w:rPr>
            </w:pPr>
            <w:r>
              <w:rPr>
                <w:rFonts w:hint="eastAsia" w:ascii="宋体" w:hAnsi="宋体"/>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429" w:type="dxa"/>
            <w:gridSpan w:val="8"/>
            <w:noWrap/>
            <w:vAlign w:val="top"/>
          </w:tcPr>
          <w:p>
            <w:pPr>
              <w:rPr>
                <w:rFonts w:ascii="宋体" w:hAnsi="宋体"/>
                <w:b/>
                <w:u w:val="single"/>
              </w:rPr>
            </w:pPr>
            <w:r>
              <w:rPr>
                <w:rFonts w:hint="eastAsia" w:ascii="宋体" w:hAnsi="宋体"/>
                <w:b/>
                <w:sz w:val="30"/>
              </w:rPr>
              <w:t>发电机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66" w:type="dxa"/>
            <w:noWrap/>
            <w:vAlign w:val="top"/>
          </w:tcPr>
          <w:p>
            <w:pPr>
              <w:rPr>
                <w:rFonts w:ascii="宋体" w:hAnsi="宋体"/>
              </w:rPr>
            </w:pPr>
            <w:r>
              <w:rPr>
                <w:rFonts w:hint="eastAsia" w:ascii="宋体" w:hAnsi="宋体"/>
              </w:rPr>
              <w:t>电压调整范围</w:t>
            </w:r>
          </w:p>
        </w:tc>
        <w:tc>
          <w:tcPr>
            <w:tcW w:w="2355" w:type="dxa"/>
            <w:gridSpan w:val="2"/>
            <w:noWrap/>
            <w:vAlign w:val="top"/>
          </w:tcPr>
          <w:p>
            <w:pPr>
              <w:rPr>
                <w:rFonts w:ascii="宋体" w:hAnsi="宋体"/>
              </w:rPr>
            </w:pPr>
            <w:r>
              <w:rPr>
                <w:rFonts w:hint="eastAsia" w:ascii="宋体" w:hAnsi="宋体"/>
              </w:rPr>
              <w:t>≥±5%</w:t>
            </w:r>
          </w:p>
        </w:tc>
        <w:tc>
          <w:tcPr>
            <w:tcW w:w="2615" w:type="dxa"/>
            <w:gridSpan w:val="3"/>
            <w:noWrap/>
            <w:vAlign w:val="top"/>
          </w:tcPr>
          <w:p>
            <w:pPr>
              <w:rPr>
                <w:rFonts w:ascii="宋体" w:hAnsi="宋体"/>
              </w:rPr>
            </w:pPr>
            <w:r>
              <w:rPr>
                <w:rFonts w:hint="eastAsia" w:ascii="宋体" w:hAnsi="宋体"/>
              </w:rPr>
              <w:t>励磁方式</w:t>
            </w:r>
          </w:p>
        </w:tc>
        <w:tc>
          <w:tcPr>
            <w:tcW w:w="1393" w:type="dxa"/>
            <w:gridSpan w:val="2"/>
            <w:noWrap/>
            <w:vAlign w:val="top"/>
          </w:tcPr>
          <w:p>
            <w:pPr>
              <w:rPr>
                <w:rFonts w:ascii="宋体" w:hAnsi="宋体"/>
              </w:rPr>
            </w:pPr>
            <w:r>
              <w:rPr>
                <w:rFonts w:hint="eastAsia" w:ascii="宋体" w:hAnsi="宋体"/>
              </w:rPr>
              <w:t>无刷自励式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66" w:type="dxa"/>
            <w:noWrap/>
            <w:vAlign w:val="top"/>
          </w:tcPr>
          <w:p>
            <w:pPr>
              <w:rPr>
                <w:rFonts w:ascii="宋体" w:hAnsi="宋体"/>
              </w:rPr>
            </w:pPr>
            <w:r>
              <w:rPr>
                <w:rFonts w:hint="eastAsia" w:ascii="宋体" w:hAnsi="宋体"/>
              </w:rPr>
              <w:t>稳态电压调整率</w:t>
            </w:r>
          </w:p>
        </w:tc>
        <w:tc>
          <w:tcPr>
            <w:tcW w:w="2355" w:type="dxa"/>
            <w:gridSpan w:val="2"/>
            <w:noWrap/>
            <w:vAlign w:val="top"/>
          </w:tcPr>
          <w:p>
            <w:pPr>
              <w:rPr>
                <w:rFonts w:ascii="宋体" w:hAnsi="宋体"/>
              </w:rPr>
            </w:pPr>
            <w:r>
              <w:rPr>
                <w:rFonts w:hint="eastAsia" w:ascii="宋体" w:hAnsi="宋体"/>
              </w:rPr>
              <w:t>±0.5%</w:t>
            </w:r>
          </w:p>
        </w:tc>
        <w:tc>
          <w:tcPr>
            <w:tcW w:w="2615" w:type="dxa"/>
            <w:gridSpan w:val="3"/>
            <w:noWrap/>
            <w:vAlign w:val="top"/>
          </w:tcPr>
          <w:p>
            <w:pPr>
              <w:rPr>
                <w:rFonts w:ascii="宋体" w:hAnsi="宋体"/>
              </w:rPr>
            </w:pPr>
            <w:r>
              <w:rPr>
                <w:rFonts w:hint="eastAsia" w:ascii="宋体" w:hAnsi="宋体"/>
              </w:rPr>
              <w:t>电压控制方式</w:t>
            </w:r>
          </w:p>
        </w:tc>
        <w:tc>
          <w:tcPr>
            <w:tcW w:w="1393" w:type="dxa"/>
            <w:gridSpan w:val="2"/>
            <w:noWrap/>
            <w:vAlign w:val="top"/>
          </w:tcPr>
          <w:p>
            <w:pPr>
              <w:rPr>
                <w:rFonts w:ascii="宋体" w:hAnsi="宋体"/>
              </w:rPr>
            </w:pPr>
            <w:r>
              <w:rPr>
                <w:rFonts w:hint="eastAsia" w:ascii="宋体" w:hAnsi="宋体"/>
              </w:rPr>
              <w:t>AVR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66" w:type="dxa"/>
            <w:noWrap/>
            <w:vAlign w:val="top"/>
          </w:tcPr>
          <w:p>
            <w:pPr>
              <w:rPr>
                <w:rFonts w:ascii="宋体" w:hAnsi="宋体"/>
              </w:rPr>
            </w:pPr>
            <w:r>
              <w:rPr>
                <w:rFonts w:hint="eastAsia" w:ascii="宋体" w:hAnsi="宋体"/>
              </w:rPr>
              <w:t>稳态频率调整率</w:t>
            </w:r>
          </w:p>
        </w:tc>
        <w:tc>
          <w:tcPr>
            <w:tcW w:w="2355" w:type="dxa"/>
            <w:gridSpan w:val="2"/>
            <w:noWrap/>
            <w:vAlign w:val="top"/>
          </w:tcPr>
          <w:p>
            <w:pPr>
              <w:rPr>
                <w:rFonts w:ascii="宋体" w:hAnsi="宋体"/>
              </w:rPr>
            </w:pPr>
            <w:r>
              <w:rPr>
                <w:rFonts w:hint="eastAsia" w:ascii="宋体" w:hAnsi="宋体"/>
              </w:rPr>
              <w:t>≤1%</w:t>
            </w:r>
          </w:p>
        </w:tc>
        <w:tc>
          <w:tcPr>
            <w:tcW w:w="2615" w:type="dxa"/>
            <w:gridSpan w:val="3"/>
            <w:noWrap/>
            <w:vAlign w:val="top"/>
          </w:tcPr>
          <w:p>
            <w:pPr>
              <w:rPr>
                <w:rFonts w:ascii="宋体" w:hAnsi="宋体"/>
              </w:rPr>
            </w:pPr>
            <w:r>
              <w:rPr>
                <w:rFonts w:hint="eastAsia" w:ascii="宋体" w:hAnsi="宋体"/>
              </w:rPr>
              <w:t>瞬态电压调整率</w:t>
            </w:r>
          </w:p>
        </w:tc>
        <w:tc>
          <w:tcPr>
            <w:tcW w:w="1393" w:type="dxa"/>
            <w:gridSpan w:val="2"/>
            <w:noWrap/>
            <w:vAlign w:val="top"/>
          </w:tcPr>
          <w:p>
            <w:pPr>
              <w:rPr>
                <w:rFonts w:ascii="宋体" w:hAnsi="宋体"/>
              </w:rPr>
            </w:pPr>
            <w:r>
              <w:rPr>
                <w:rFonts w:hint="eastAsia" w:ascii="宋体" w:hAnsi="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66" w:type="dxa"/>
            <w:noWrap/>
            <w:vAlign w:val="top"/>
          </w:tcPr>
          <w:p>
            <w:pPr>
              <w:rPr>
                <w:rFonts w:ascii="宋体" w:hAnsi="宋体"/>
              </w:rPr>
            </w:pPr>
            <w:r>
              <w:rPr>
                <w:rFonts w:hint="eastAsia" w:ascii="宋体" w:hAnsi="宋体"/>
              </w:rPr>
              <w:t>温升</w:t>
            </w:r>
          </w:p>
        </w:tc>
        <w:tc>
          <w:tcPr>
            <w:tcW w:w="2355" w:type="dxa"/>
            <w:gridSpan w:val="2"/>
            <w:noWrap/>
            <w:vAlign w:val="top"/>
          </w:tcPr>
          <w:p>
            <w:pPr>
              <w:rPr>
                <w:rFonts w:ascii="宋体" w:hAnsi="宋体"/>
              </w:rPr>
            </w:pPr>
            <w:r>
              <w:rPr>
                <w:rFonts w:ascii="宋体" w:hAnsi="宋体"/>
              </w:rPr>
              <w:t>H</w:t>
            </w:r>
          </w:p>
        </w:tc>
        <w:tc>
          <w:tcPr>
            <w:tcW w:w="2615" w:type="dxa"/>
            <w:gridSpan w:val="3"/>
            <w:noWrap/>
            <w:vAlign w:val="top"/>
          </w:tcPr>
          <w:p>
            <w:pPr>
              <w:rPr>
                <w:rFonts w:ascii="宋体" w:hAnsi="宋体"/>
              </w:rPr>
            </w:pPr>
            <w:r>
              <w:rPr>
                <w:rFonts w:hint="eastAsia" w:ascii="宋体" w:hAnsi="宋体"/>
              </w:rPr>
              <w:t>频率稳定时间</w:t>
            </w:r>
          </w:p>
        </w:tc>
        <w:tc>
          <w:tcPr>
            <w:tcW w:w="1393" w:type="dxa"/>
            <w:gridSpan w:val="2"/>
            <w:noWrap/>
            <w:vAlign w:val="top"/>
          </w:tcPr>
          <w:p>
            <w:pPr>
              <w:rPr>
                <w:rFonts w:ascii="宋体" w:hAnsi="宋体"/>
              </w:rPr>
            </w:pPr>
            <w:r>
              <w:rPr>
                <w:rFonts w:hint="eastAsia" w:ascii="宋体" w:hAnsi="宋体"/>
              </w:rPr>
              <w:t>≤3S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66" w:type="dxa"/>
            <w:noWrap/>
            <w:vAlign w:val="top"/>
          </w:tcPr>
          <w:p>
            <w:pPr>
              <w:rPr>
                <w:rFonts w:ascii="宋体" w:hAnsi="宋体"/>
              </w:rPr>
            </w:pPr>
            <w:r>
              <w:rPr>
                <w:rFonts w:hint="eastAsia" w:ascii="宋体" w:hAnsi="宋体"/>
              </w:rPr>
              <w:t>绝缘等级</w:t>
            </w:r>
          </w:p>
        </w:tc>
        <w:tc>
          <w:tcPr>
            <w:tcW w:w="2355" w:type="dxa"/>
            <w:gridSpan w:val="2"/>
            <w:noWrap/>
            <w:vAlign w:val="top"/>
          </w:tcPr>
          <w:p>
            <w:pPr>
              <w:rPr>
                <w:rFonts w:ascii="宋体" w:hAnsi="宋体"/>
              </w:rPr>
            </w:pPr>
            <w:r>
              <w:rPr>
                <w:rFonts w:hint="eastAsia" w:ascii="宋体" w:hAnsi="宋体"/>
              </w:rPr>
              <w:t>H</w:t>
            </w:r>
          </w:p>
        </w:tc>
        <w:tc>
          <w:tcPr>
            <w:tcW w:w="2615" w:type="dxa"/>
            <w:gridSpan w:val="3"/>
            <w:noWrap/>
            <w:vAlign w:val="top"/>
          </w:tcPr>
          <w:p>
            <w:pPr>
              <w:rPr>
                <w:rFonts w:ascii="宋体" w:hAnsi="宋体"/>
              </w:rPr>
            </w:pPr>
            <w:r>
              <w:rPr>
                <w:rFonts w:hint="eastAsia" w:ascii="宋体" w:hAnsi="宋体"/>
              </w:rPr>
              <w:t>过电流</w:t>
            </w:r>
          </w:p>
        </w:tc>
        <w:tc>
          <w:tcPr>
            <w:tcW w:w="1393" w:type="dxa"/>
            <w:gridSpan w:val="2"/>
            <w:noWrap/>
            <w:vAlign w:val="top"/>
          </w:tcPr>
          <w:p>
            <w:pPr>
              <w:rPr>
                <w:rFonts w:ascii="宋体" w:hAnsi="宋体"/>
              </w:rPr>
            </w:pPr>
            <w:r>
              <w:rPr>
                <w:rFonts w:hint="eastAsia" w:ascii="宋体" w:hAnsi="宋体"/>
              </w:rPr>
              <w:t>3～5le≥5S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66" w:type="dxa"/>
            <w:noWrap/>
            <w:vAlign w:val="top"/>
          </w:tcPr>
          <w:p>
            <w:pPr>
              <w:rPr>
                <w:rFonts w:ascii="宋体" w:hAnsi="宋体"/>
              </w:rPr>
            </w:pPr>
            <w:r>
              <w:rPr>
                <w:rFonts w:hint="eastAsia" w:ascii="宋体" w:hAnsi="宋体"/>
              </w:rPr>
              <w:t>防护等级</w:t>
            </w:r>
          </w:p>
        </w:tc>
        <w:tc>
          <w:tcPr>
            <w:tcW w:w="2355" w:type="dxa"/>
            <w:gridSpan w:val="2"/>
            <w:noWrap/>
            <w:vAlign w:val="top"/>
          </w:tcPr>
          <w:p>
            <w:pPr>
              <w:rPr>
                <w:rFonts w:ascii="宋体" w:hAnsi="宋体"/>
              </w:rPr>
            </w:pPr>
            <w:r>
              <w:rPr>
                <w:rFonts w:hint="eastAsia" w:ascii="宋体" w:hAnsi="宋体"/>
              </w:rPr>
              <w:t>IP23</w:t>
            </w:r>
          </w:p>
        </w:tc>
        <w:tc>
          <w:tcPr>
            <w:tcW w:w="2615" w:type="dxa"/>
            <w:gridSpan w:val="3"/>
            <w:noWrap/>
            <w:vAlign w:val="top"/>
          </w:tcPr>
          <w:p>
            <w:pPr>
              <w:rPr>
                <w:rFonts w:ascii="宋体" w:hAnsi="宋体"/>
              </w:rPr>
            </w:pPr>
            <w:r>
              <w:rPr>
                <w:rFonts w:hint="eastAsia" w:ascii="宋体" w:hAnsi="宋体"/>
              </w:rPr>
              <w:t>过载能力</w:t>
            </w:r>
          </w:p>
        </w:tc>
        <w:tc>
          <w:tcPr>
            <w:tcW w:w="1393" w:type="dxa"/>
            <w:gridSpan w:val="2"/>
            <w:noWrap/>
            <w:vAlign w:val="top"/>
          </w:tcPr>
          <w:p>
            <w:pPr>
              <w:rPr>
                <w:rFonts w:ascii="宋体" w:hAnsi="宋体"/>
              </w:rPr>
            </w:pPr>
            <w:r>
              <w:rPr>
                <w:rFonts w:hint="eastAsia" w:ascii="宋体" w:hAnsi="宋体"/>
              </w:rPr>
              <w:t>1.5倍2分钟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66" w:type="dxa"/>
            <w:noWrap/>
            <w:vAlign w:val="top"/>
          </w:tcPr>
          <w:p>
            <w:pPr>
              <w:rPr>
                <w:rFonts w:ascii="宋体" w:hAnsi="宋体"/>
              </w:rPr>
            </w:pPr>
            <w:r>
              <w:rPr>
                <w:rFonts w:hint="eastAsia" w:ascii="宋体" w:hAnsi="宋体"/>
              </w:rPr>
              <w:t>效率</w:t>
            </w:r>
          </w:p>
        </w:tc>
        <w:tc>
          <w:tcPr>
            <w:tcW w:w="2355" w:type="dxa"/>
            <w:gridSpan w:val="2"/>
            <w:noWrap/>
            <w:vAlign w:val="top"/>
          </w:tcPr>
          <w:p>
            <w:pPr>
              <w:rPr>
                <w:rFonts w:ascii="宋体" w:hAnsi="宋体"/>
              </w:rPr>
            </w:pPr>
            <w:r>
              <w:rPr>
                <w:rFonts w:hint="eastAsia" w:ascii="宋体" w:hAnsi="宋体"/>
              </w:rPr>
              <w:t>92.0%</w:t>
            </w:r>
          </w:p>
        </w:tc>
        <w:tc>
          <w:tcPr>
            <w:tcW w:w="2615" w:type="dxa"/>
            <w:gridSpan w:val="3"/>
            <w:noWrap/>
            <w:vAlign w:val="top"/>
          </w:tcPr>
          <w:p>
            <w:pPr>
              <w:rPr>
                <w:rFonts w:ascii="宋体" w:hAnsi="宋体"/>
              </w:rPr>
            </w:pPr>
            <w:r>
              <w:rPr>
                <w:rFonts w:hint="eastAsia" w:ascii="宋体" w:hAnsi="宋体"/>
              </w:rPr>
              <w:t>短路能力</w:t>
            </w:r>
          </w:p>
        </w:tc>
        <w:tc>
          <w:tcPr>
            <w:tcW w:w="1393" w:type="dxa"/>
            <w:gridSpan w:val="2"/>
            <w:noWrap/>
            <w:vAlign w:val="top"/>
          </w:tcPr>
          <w:p>
            <w:pPr>
              <w:rPr>
                <w:rFonts w:ascii="宋体" w:hAnsi="宋体"/>
              </w:rPr>
            </w:pPr>
            <w:r>
              <w:rPr>
                <w:rFonts w:hint="eastAsia" w:ascii="宋体" w:hAnsi="宋体"/>
              </w:rPr>
              <w:t>3倍2秒钟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66" w:type="dxa"/>
            <w:noWrap/>
            <w:vAlign w:val="top"/>
          </w:tcPr>
          <w:p>
            <w:pPr>
              <w:rPr>
                <w:rFonts w:ascii="宋体" w:hAnsi="宋体"/>
              </w:rPr>
            </w:pPr>
            <w:r>
              <w:rPr>
                <w:rFonts w:hint="eastAsia" w:ascii="宋体" w:hAnsi="宋体"/>
              </w:rPr>
              <w:t>电话干扰系数</w:t>
            </w:r>
          </w:p>
        </w:tc>
        <w:tc>
          <w:tcPr>
            <w:tcW w:w="2355" w:type="dxa"/>
            <w:gridSpan w:val="2"/>
            <w:noWrap/>
            <w:vAlign w:val="top"/>
          </w:tcPr>
          <w:p>
            <w:pPr>
              <w:rPr>
                <w:rFonts w:ascii="宋体" w:hAnsi="宋体"/>
              </w:rPr>
            </w:pPr>
            <w:r>
              <w:rPr>
                <w:rFonts w:hint="eastAsia" w:ascii="宋体" w:hAnsi="宋体"/>
              </w:rPr>
              <w:t>THF&lt;2%,  TIF&lt;50</w:t>
            </w:r>
          </w:p>
        </w:tc>
        <w:tc>
          <w:tcPr>
            <w:tcW w:w="2615" w:type="dxa"/>
            <w:gridSpan w:val="3"/>
            <w:noWrap/>
            <w:vAlign w:val="top"/>
          </w:tcPr>
          <w:p>
            <w:pPr>
              <w:rPr>
                <w:rFonts w:ascii="宋体" w:hAnsi="宋体"/>
              </w:rPr>
            </w:pPr>
            <w:r>
              <w:rPr>
                <w:rFonts w:hint="eastAsia" w:ascii="宋体" w:hAnsi="宋体"/>
              </w:rPr>
              <w:t>冷却方式</w:t>
            </w:r>
          </w:p>
        </w:tc>
        <w:tc>
          <w:tcPr>
            <w:tcW w:w="1393" w:type="dxa"/>
            <w:gridSpan w:val="2"/>
            <w:noWrap/>
            <w:vAlign w:val="top"/>
          </w:tcPr>
          <w:p>
            <w:pPr>
              <w:rPr>
                <w:rFonts w:ascii="宋体" w:hAnsi="宋体"/>
              </w:rPr>
            </w:pPr>
            <w:r>
              <w:rPr>
                <w:rFonts w:hint="eastAsia" w:ascii="宋体" w:hAnsi="宋体"/>
              </w:rPr>
              <w:t>自冷式</w:t>
            </w:r>
          </w:p>
        </w:tc>
      </w:tr>
    </w:tbl>
    <w:p>
      <w:pPr>
        <w:pStyle w:val="6"/>
      </w:pPr>
      <w:bookmarkStart w:id="76" w:name="_Toc28781"/>
      <w:bookmarkStart w:id="77" w:name="_Toc30549"/>
      <w:r>
        <w:rPr>
          <w:rFonts w:hint="eastAsia"/>
        </w:rPr>
        <w:t>50KW柴油发电机组技术参数</w:t>
      </w:r>
      <w:bookmarkEnd w:id="76"/>
      <w:bookmarkEnd w:id="77"/>
      <w:r>
        <w:rPr>
          <w:rFonts w:hint="eastAsia"/>
          <w:lang w:val="en-US" w:eastAsia="zh-CN"/>
        </w:rPr>
        <w:t>要求</w:t>
      </w:r>
    </w:p>
    <w:tbl>
      <w:tblPr>
        <w:tblStyle w:val="75"/>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1"/>
        <w:gridCol w:w="12"/>
        <w:gridCol w:w="1799"/>
        <w:gridCol w:w="21"/>
        <w:gridCol w:w="38"/>
        <w:gridCol w:w="2524"/>
        <w:gridCol w:w="7"/>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681" w:type="dxa"/>
            <w:gridSpan w:val="8"/>
            <w:noWrap/>
            <w:vAlign w:val="top"/>
          </w:tcPr>
          <w:p>
            <w:pPr>
              <w:rPr>
                <w:rFonts w:ascii="宋体" w:hAnsi="宋体"/>
                <w:sz w:val="28"/>
                <w:szCs w:val="28"/>
              </w:rPr>
            </w:pPr>
            <w:r>
              <w:rPr>
                <w:rFonts w:hint="eastAsia" w:ascii="宋体" w:hAnsi="宋体"/>
                <w:b/>
                <w:sz w:val="28"/>
                <w:szCs w:val="28"/>
              </w:rPr>
              <w:t>柴油发电机组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473" w:type="dxa"/>
            <w:gridSpan w:val="4"/>
            <w:noWrap/>
            <w:vAlign w:val="top"/>
          </w:tcPr>
          <w:p>
            <w:pPr>
              <w:rPr>
                <w:rFonts w:ascii="宋体" w:hAnsi="宋体"/>
              </w:rPr>
            </w:pPr>
            <w:r>
              <w:rPr>
                <w:rFonts w:hint="eastAsia" w:ascii="宋体" w:hAnsi="宋体"/>
              </w:rPr>
              <w:t>常用功率（kW）</w:t>
            </w:r>
          </w:p>
        </w:tc>
        <w:tc>
          <w:tcPr>
            <w:tcW w:w="4208" w:type="dxa"/>
            <w:gridSpan w:val="4"/>
            <w:noWrap/>
            <w:vAlign w:val="top"/>
          </w:tcPr>
          <w:p>
            <w:pPr>
              <w:rPr>
                <w:rFonts w:ascii="宋体" w:hAnsi="宋体"/>
              </w:rPr>
            </w:pPr>
            <w:r>
              <w:rPr>
                <w:rFonts w:hint="eastAsia" w:ascii="宋体" w:hAnsi="宋体"/>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473" w:type="dxa"/>
            <w:gridSpan w:val="4"/>
            <w:noWrap/>
            <w:vAlign w:val="top"/>
          </w:tcPr>
          <w:p>
            <w:pPr>
              <w:rPr>
                <w:rFonts w:ascii="宋体" w:hAnsi="宋体"/>
              </w:rPr>
            </w:pPr>
            <w:r>
              <w:rPr>
                <w:rFonts w:hint="eastAsia" w:ascii="宋体" w:hAnsi="宋体"/>
              </w:rPr>
              <w:t>备用功率（KW）</w:t>
            </w:r>
          </w:p>
        </w:tc>
        <w:tc>
          <w:tcPr>
            <w:tcW w:w="4208" w:type="dxa"/>
            <w:gridSpan w:val="4"/>
            <w:noWrap/>
            <w:vAlign w:val="top"/>
          </w:tcPr>
          <w:p>
            <w:pPr>
              <w:rPr>
                <w:rFonts w:ascii="宋体" w:hAnsi="宋体"/>
              </w:rPr>
            </w:pPr>
            <w:r>
              <w:rPr>
                <w:rFonts w:hint="eastAsia" w:ascii="宋体" w:hAnsi="宋体"/>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473" w:type="dxa"/>
            <w:gridSpan w:val="4"/>
            <w:noWrap/>
            <w:vAlign w:val="top"/>
          </w:tcPr>
          <w:p>
            <w:pPr>
              <w:rPr>
                <w:rFonts w:ascii="宋体" w:hAnsi="宋体"/>
              </w:rPr>
            </w:pPr>
            <w:r>
              <w:rPr>
                <w:rFonts w:hint="eastAsia" w:ascii="宋体" w:hAnsi="宋体"/>
              </w:rPr>
              <w:t>输出容量（kVA）</w:t>
            </w:r>
          </w:p>
        </w:tc>
        <w:tc>
          <w:tcPr>
            <w:tcW w:w="4208" w:type="dxa"/>
            <w:gridSpan w:val="4"/>
            <w:noWrap/>
            <w:vAlign w:val="top"/>
          </w:tcPr>
          <w:p>
            <w:pPr>
              <w:rPr>
                <w:rFonts w:ascii="宋体" w:hAnsi="宋体"/>
              </w:rPr>
            </w:pPr>
            <w:r>
              <w:rPr>
                <w:rFonts w:hint="eastAsia" w:ascii="宋体" w:hAnsi="宋体"/>
              </w:rPr>
              <w:t>62.5/68.75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473" w:type="dxa"/>
            <w:gridSpan w:val="4"/>
            <w:noWrap/>
            <w:vAlign w:val="top"/>
          </w:tcPr>
          <w:p>
            <w:pPr>
              <w:rPr>
                <w:rFonts w:ascii="宋体" w:hAnsi="宋体"/>
              </w:rPr>
            </w:pPr>
            <w:r>
              <w:rPr>
                <w:rFonts w:hint="eastAsia" w:ascii="宋体" w:hAnsi="宋体"/>
              </w:rPr>
              <w:t>功率因数</w:t>
            </w:r>
          </w:p>
        </w:tc>
        <w:tc>
          <w:tcPr>
            <w:tcW w:w="4208" w:type="dxa"/>
            <w:gridSpan w:val="4"/>
            <w:noWrap/>
            <w:vAlign w:val="top"/>
          </w:tcPr>
          <w:p>
            <w:pPr>
              <w:rPr>
                <w:rFonts w:ascii="宋体" w:hAnsi="宋体"/>
              </w:rPr>
            </w:pPr>
            <w:r>
              <w:rPr>
                <w:rFonts w:ascii="宋体" w:hAnsi="宋体"/>
              </w:rPr>
              <w:t>0.8</w:t>
            </w:r>
            <w:r>
              <w:rPr>
                <w:rFonts w:hint="eastAsia" w:ascii="宋体" w:hAnsi="宋体"/>
              </w:rPr>
              <w:t>（滞后）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473" w:type="dxa"/>
            <w:gridSpan w:val="4"/>
            <w:noWrap/>
            <w:vAlign w:val="top"/>
          </w:tcPr>
          <w:p>
            <w:pPr>
              <w:rPr>
                <w:rFonts w:ascii="宋体" w:hAnsi="宋体"/>
              </w:rPr>
            </w:pPr>
            <w:r>
              <w:rPr>
                <w:rFonts w:hint="eastAsia" w:ascii="宋体" w:hAnsi="宋体"/>
              </w:rPr>
              <w:t>频率(Hz)</w:t>
            </w:r>
          </w:p>
        </w:tc>
        <w:tc>
          <w:tcPr>
            <w:tcW w:w="4208" w:type="dxa"/>
            <w:gridSpan w:val="4"/>
            <w:noWrap/>
            <w:vAlign w:val="top"/>
          </w:tcPr>
          <w:p>
            <w:pPr>
              <w:rPr>
                <w:rFonts w:ascii="宋体" w:hAnsi="宋体"/>
              </w:rPr>
            </w:pPr>
            <w:r>
              <w:rPr>
                <w:rFonts w:hint="eastAsia" w:ascii="宋体" w:hAnsi="宋体"/>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473" w:type="dxa"/>
            <w:gridSpan w:val="4"/>
            <w:noWrap/>
            <w:vAlign w:val="top"/>
          </w:tcPr>
          <w:p>
            <w:pPr>
              <w:rPr>
                <w:rFonts w:ascii="宋体" w:hAnsi="宋体"/>
              </w:rPr>
            </w:pPr>
            <w:r>
              <w:rPr>
                <w:rFonts w:hint="eastAsia" w:ascii="宋体" w:hAnsi="宋体"/>
              </w:rPr>
              <w:t>输出电压（V）</w:t>
            </w:r>
          </w:p>
        </w:tc>
        <w:tc>
          <w:tcPr>
            <w:tcW w:w="4208" w:type="dxa"/>
            <w:gridSpan w:val="4"/>
            <w:noWrap/>
            <w:vAlign w:val="top"/>
          </w:tcPr>
          <w:p>
            <w:pPr>
              <w:rPr>
                <w:rFonts w:ascii="宋体" w:hAnsi="宋体"/>
              </w:rPr>
            </w:pPr>
            <w:r>
              <w:rPr>
                <w:rFonts w:hint="eastAsia" w:ascii="宋体" w:hAnsi="宋体"/>
              </w:rPr>
              <w:t>400 / 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473" w:type="dxa"/>
            <w:gridSpan w:val="4"/>
            <w:noWrap/>
            <w:vAlign w:val="top"/>
          </w:tcPr>
          <w:p>
            <w:pPr>
              <w:rPr>
                <w:rFonts w:ascii="宋体" w:hAnsi="宋体"/>
              </w:rPr>
            </w:pPr>
            <w:r>
              <w:rPr>
                <w:rFonts w:hint="eastAsia" w:ascii="宋体" w:hAnsi="宋体"/>
              </w:rPr>
              <w:t>输出电流（A）</w:t>
            </w:r>
          </w:p>
        </w:tc>
        <w:tc>
          <w:tcPr>
            <w:tcW w:w="4208" w:type="dxa"/>
            <w:gridSpan w:val="4"/>
            <w:noWrap/>
            <w:vAlign w:val="top"/>
          </w:tcPr>
          <w:p>
            <w:pPr>
              <w:rPr>
                <w:rFonts w:ascii="宋体" w:hAnsi="宋体"/>
              </w:rPr>
            </w:pPr>
            <w:r>
              <w:rPr>
                <w:rFonts w:hint="eastAsia" w:ascii="宋体" w:hAnsi="宋体"/>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681" w:type="dxa"/>
            <w:gridSpan w:val="8"/>
            <w:noWrap/>
            <w:vAlign w:val="top"/>
          </w:tcPr>
          <w:p>
            <w:pPr>
              <w:rPr>
                <w:rFonts w:ascii="宋体" w:hAnsi="宋体"/>
                <w:b/>
                <w:sz w:val="28"/>
                <w:szCs w:val="28"/>
                <w:u w:val="single"/>
              </w:rPr>
            </w:pPr>
            <w:r>
              <w:rPr>
                <w:rFonts w:hint="eastAsia" w:ascii="宋体" w:hAnsi="宋体"/>
                <w:b/>
                <w:sz w:val="24"/>
                <w:szCs w:val="24"/>
              </w:rPr>
              <w:t>柴油机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641" w:type="dxa"/>
            <w:noWrap/>
            <w:vAlign w:val="top"/>
          </w:tcPr>
          <w:p>
            <w:pPr>
              <w:rPr>
                <w:rFonts w:ascii="宋体" w:hAnsi="宋体"/>
              </w:rPr>
            </w:pPr>
            <w:r>
              <w:rPr>
                <w:rFonts w:hint="eastAsia" w:ascii="宋体" w:hAnsi="宋体"/>
              </w:rPr>
              <w:t>气缸数</w:t>
            </w:r>
          </w:p>
        </w:tc>
        <w:tc>
          <w:tcPr>
            <w:tcW w:w="1811" w:type="dxa"/>
            <w:gridSpan w:val="2"/>
            <w:noWrap/>
            <w:vAlign w:val="center"/>
          </w:tcPr>
          <w:p>
            <w:pPr>
              <w:rPr>
                <w:rFonts w:ascii="宋体" w:hAnsi="宋体"/>
              </w:rPr>
            </w:pPr>
            <w:r>
              <w:rPr>
                <w:rFonts w:hint="eastAsia" w:ascii="宋体" w:hAnsi="宋体"/>
              </w:rPr>
              <w:t>4</w:t>
            </w:r>
          </w:p>
        </w:tc>
        <w:tc>
          <w:tcPr>
            <w:tcW w:w="2590" w:type="dxa"/>
            <w:gridSpan w:val="4"/>
            <w:noWrap/>
            <w:vAlign w:val="top"/>
          </w:tcPr>
          <w:p>
            <w:pPr>
              <w:rPr>
                <w:rFonts w:ascii="宋体" w:hAnsi="宋体"/>
              </w:rPr>
            </w:pPr>
            <w:r>
              <w:rPr>
                <w:rFonts w:hint="eastAsia" w:ascii="宋体" w:hAnsi="宋体"/>
              </w:rPr>
              <w:t>输出功率（kW）</w:t>
            </w:r>
          </w:p>
        </w:tc>
        <w:tc>
          <w:tcPr>
            <w:tcW w:w="1639" w:type="dxa"/>
            <w:noWrap/>
            <w:vAlign w:val="top"/>
          </w:tcPr>
          <w:p>
            <w:pPr>
              <w:rPr>
                <w:rFonts w:ascii="宋体" w:hAnsi="宋体"/>
              </w:rPr>
            </w:pPr>
            <w:r>
              <w:rPr>
                <w:rFonts w:hint="eastAsia" w:ascii="宋体" w:hAnsi="宋体"/>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641" w:type="dxa"/>
            <w:noWrap/>
            <w:vAlign w:val="top"/>
          </w:tcPr>
          <w:p>
            <w:pPr>
              <w:rPr>
                <w:rFonts w:ascii="宋体" w:hAnsi="宋体"/>
              </w:rPr>
            </w:pPr>
            <w:r>
              <w:rPr>
                <w:rFonts w:hint="eastAsia" w:ascii="宋体" w:hAnsi="宋体"/>
              </w:rPr>
              <w:t>气缸排列方式</w:t>
            </w:r>
          </w:p>
        </w:tc>
        <w:tc>
          <w:tcPr>
            <w:tcW w:w="1811" w:type="dxa"/>
            <w:gridSpan w:val="2"/>
            <w:noWrap/>
            <w:vAlign w:val="center"/>
          </w:tcPr>
          <w:p>
            <w:pPr>
              <w:rPr>
                <w:rFonts w:ascii="宋体" w:hAnsi="宋体"/>
              </w:rPr>
            </w:pPr>
            <w:r>
              <w:rPr>
                <w:rFonts w:hint="eastAsia" w:ascii="宋体" w:hAnsi="宋体"/>
              </w:rPr>
              <w:t>L</w:t>
            </w:r>
          </w:p>
        </w:tc>
        <w:tc>
          <w:tcPr>
            <w:tcW w:w="2590" w:type="dxa"/>
            <w:gridSpan w:val="4"/>
            <w:noWrap/>
            <w:vAlign w:val="top"/>
          </w:tcPr>
          <w:p>
            <w:pPr>
              <w:rPr>
                <w:rFonts w:ascii="宋体" w:hAnsi="宋体"/>
                <w:szCs w:val="22"/>
              </w:rPr>
            </w:pPr>
            <w:r>
              <w:rPr>
                <w:rFonts w:hint="eastAsia" w:ascii="宋体" w:hAnsi="宋体"/>
              </w:rPr>
              <w:t>冷却水流量（L/sec）</w:t>
            </w:r>
          </w:p>
        </w:tc>
        <w:tc>
          <w:tcPr>
            <w:tcW w:w="1639" w:type="dxa"/>
            <w:noWrap/>
            <w:vAlign w:val="top"/>
          </w:tcPr>
          <w:p>
            <w:pPr>
              <w:rPr>
                <w:rFonts w:ascii="宋体" w:hAnsi="宋体"/>
                <w:szCs w:val="22"/>
              </w:rPr>
            </w:pPr>
            <w:r>
              <w:rPr>
                <w:rFonts w:hint="eastAsia" w:ascii="宋体" w:hAnsi="宋体"/>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641" w:type="dxa"/>
            <w:noWrap/>
            <w:vAlign w:val="top"/>
          </w:tcPr>
          <w:p>
            <w:pPr>
              <w:rPr>
                <w:rFonts w:ascii="宋体" w:hAnsi="宋体"/>
              </w:rPr>
            </w:pPr>
            <w:r>
              <w:rPr>
                <w:rFonts w:hint="eastAsia" w:ascii="宋体" w:hAnsi="宋体"/>
              </w:rPr>
              <w:t>缸径/行程（mm）</w:t>
            </w:r>
          </w:p>
        </w:tc>
        <w:tc>
          <w:tcPr>
            <w:tcW w:w="1811" w:type="dxa"/>
            <w:gridSpan w:val="2"/>
            <w:noWrap/>
            <w:vAlign w:val="center"/>
          </w:tcPr>
          <w:p>
            <w:pPr>
              <w:rPr>
                <w:rFonts w:ascii="宋体" w:hAnsi="宋体"/>
              </w:rPr>
            </w:pPr>
            <w:r>
              <w:rPr>
                <w:rFonts w:hint="eastAsia" w:ascii="宋体" w:hAnsi="宋体"/>
              </w:rPr>
              <w:t>102/120</w:t>
            </w:r>
          </w:p>
        </w:tc>
        <w:tc>
          <w:tcPr>
            <w:tcW w:w="2590" w:type="dxa"/>
            <w:gridSpan w:val="4"/>
            <w:noWrap/>
            <w:vAlign w:val="top"/>
          </w:tcPr>
          <w:p>
            <w:pPr>
              <w:rPr>
                <w:rFonts w:ascii="宋体" w:hAnsi="宋体"/>
              </w:rPr>
            </w:pPr>
            <w:r>
              <w:rPr>
                <w:rFonts w:hint="eastAsia" w:ascii="宋体" w:hAnsi="宋体"/>
              </w:rPr>
              <w:t>燃油消耗率（g/kw.h）</w:t>
            </w:r>
          </w:p>
        </w:tc>
        <w:tc>
          <w:tcPr>
            <w:tcW w:w="1639" w:type="dxa"/>
            <w:noWrap/>
            <w:vAlign w:val="top"/>
          </w:tcPr>
          <w:p>
            <w:pPr>
              <w:rPr>
                <w:rFonts w:ascii="宋体" w:hAnsi="宋体"/>
              </w:rPr>
            </w:pPr>
            <w:r>
              <w:rPr>
                <w:rFonts w:hint="eastAsia" w:ascii="宋体" w:hAnsi="宋体"/>
                <w:u w:val="dotted"/>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641" w:type="dxa"/>
            <w:noWrap/>
            <w:vAlign w:val="top"/>
          </w:tcPr>
          <w:p>
            <w:pPr>
              <w:rPr>
                <w:rFonts w:ascii="宋体" w:hAnsi="宋体"/>
              </w:rPr>
            </w:pPr>
            <w:r>
              <w:rPr>
                <w:rFonts w:hint="eastAsia" w:ascii="宋体" w:hAnsi="宋体"/>
              </w:rPr>
              <w:t>气缸总容积（L）</w:t>
            </w:r>
          </w:p>
        </w:tc>
        <w:tc>
          <w:tcPr>
            <w:tcW w:w="1811" w:type="dxa"/>
            <w:gridSpan w:val="2"/>
            <w:noWrap/>
            <w:vAlign w:val="center"/>
          </w:tcPr>
          <w:p>
            <w:pPr>
              <w:rPr>
                <w:rFonts w:ascii="宋体" w:hAnsi="宋体"/>
              </w:rPr>
            </w:pPr>
            <w:r>
              <w:rPr>
                <w:rFonts w:hint="eastAsia" w:ascii="宋体" w:hAnsi="宋体"/>
              </w:rPr>
              <w:t>3.9</w:t>
            </w:r>
          </w:p>
        </w:tc>
        <w:tc>
          <w:tcPr>
            <w:tcW w:w="2590" w:type="dxa"/>
            <w:gridSpan w:val="4"/>
            <w:noWrap/>
            <w:vAlign w:val="top"/>
          </w:tcPr>
          <w:p>
            <w:pPr>
              <w:rPr>
                <w:rFonts w:ascii="宋体" w:hAnsi="宋体"/>
              </w:rPr>
            </w:pPr>
            <w:r>
              <w:rPr>
                <w:rFonts w:hint="eastAsia" w:ascii="宋体" w:hAnsi="宋体"/>
              </w:rPr>
              <w:t>润滑油规格、等级</w:t>
            </w:r>
          </w:p>
        </w:tc>
        <w:tc>
          <w:tcPr>
            <w:tcW w:w="1639" w:type="dxa"/>
            <w:noWrap/>
            <w:vAlign w:val="top"/>
          </w:tcPr>
          <w:p>
            <w:pPr>
              <w:rPr>
                <w:rFonts w:ascii="宋体" w:hAnsi="宋体"/>
              </w:rPr>
            </w:pPr>
            <w:r>
              <w:rPr>
                <w:rFonts w:ascii="宋体" w:hAnsi="宋体"/>
              </w:rPr>
              <w:t>API-C</w:t>
            </w:r>
            <w:r>
              <w:rPr>
                <w:rFonts w:hint="eastAsia" w:ascii="宋体" w:hAnsi="宋体"/>
              </w:rPr>
              <w:t>F级以上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641" w:type="dxa"/>
            <w:noWrap/>
            <w:vAlign w:val="top"/>
          </w:tcPr>
          <w:p>
            <w:pPr>
              <w:rPr>
                <w:rFonts w:ascii="宋体" w:hAnsi="宋体"/>
              </w:rPr>
            </w:pPr>
            <w:r>
              <w:rPr>
                <w:rFonts w:hint="eastAsia" w:ascii="宋体" w:hAnsi="宋体"/>
              </w:rPr>
              <w:t>压缩比</w:t>
            </w:r>
          </w:p>
        </w:tc>
        <w:tc>
          <w:tcPr>
            <w:tcW w:w="1811" w:type="dxa"/>
            <w:gridSpan w:val="2"/>
            <w:noWrap/>
            <w:vAlign w:val="center"/>
          </w:tcPr>
          <w:p>
            <w:pPr>
              <w:rPr>
                <w:rFonts w:ascii="宋体" w:hAnsi="宋体"/>
              </w:rPr>
            </w:pPr>
            <w:r>
              <w:rPr>
                <w:rFonts w:hint="eastAsia" w:ascii="宋体" w:hAnsi="宋体"/>
              </w:rPr>
              <w:t>16.5</w:t>
            </w:r>
            <w:r>
              <w:rPr>
                <w:rFonts w:hint="eastAsia" w:ascii="宋体" w:hAnsi="宋体"/>
                <w:b/>
              </w:rPr>
              <w:t>:</w:t>
            </w:r>
            <w:r>
              <w:rPr>
                <w:rFonts w:hint="eastAsia" w:ascii="宋体" w:hAnsi="宋体"/>
              </w:rPr>
              <w:t>1</w:t>
            </w:r>
          </w:p>
        </w:tc>
        <w:tc>
          <w:tcPr>
            <w:tcW w:w="2590" w:type="dxa"/>
            <w:gridSpan w:val="4"/>
            <w:noWrap/>
            <w:vAlign w:val="top"/>
          </w:tcPr>
          <w:p>
            <w:pPr>
              <w:rPr>
                <w:rFonts w:ascii="宋体" w:hAnsi="宋体"/>
              </w:rPr>
            </w:pPr>
            <w:r>
              <w:rPr>
                <w:rFonts w:hint="eastAsia" w:ascii="宋体" w:hAnsi="宋体"/>
              </w:rPr>
              <w:t>润滑油总容量（L）</w:t>
            </w:r>
          </w:p>
        </w:tc>
        <w:tc>
          <w:tcPr>
            <w:tcW w:w="1639" w:type="dxa"/>
            <w:noWrap/>
            <w:vAlign w:val="top"/>
          </w:tcPr>
          <w:p>
            <w:pPr>
              <w:rPr>
                <w:rFonts w:ascii="宋体" w:hAnsi="宋体"/>
              </w:rPr>
            </w:pPr>
            <w:r>
              <w:rPr>
                <w:rFonts w:hint="eastAsia" w:ascii="宋体" w:hAnsi="宋体"/>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641" w:type="dxa"/>
            <w:noWrap/>
            <w:vAlign w:val="top"/>
          </w:tcPr>
          <w:p>
            <w:pPr>
              <w:rPr>
                <w:rFonts w:ascii="宋体" w:hAnsi="宋体"/>
              </w:rPr>
            </w:pPr>
            <w:r>
              <w:rPr>
                <w:rFonts w:hint="eastAsia" w:ascii="宋体" w:hAnsi="宋体"/>
              </w:rPr>
              <w:t>进气方式</w:t>
            </w:r>
          </w:p>
        </w:tc>
        <w:tc>
          <w:tcPr>
            <w:tcW w:w="1811" w:type="dxa"/>
            <w:gridSpan w:val="2"/>
            <w:noWrap/>
            <w:vAlign w:val="center"/>
          </w:tcPr>
          <w:p>
            <w:pPr>
              <w:rPr>
                <w:rFonts w:ascii="宋体" w:hAnsi="宋体"/>
              </w:rPr>
            </w:pPr>
            <w:r>
              <w:rPr>
                <w:rFonts w:hint="eastAsia" w:ascii="宋体" w:hAnsi="宋体"/>
              </w:rPr>
              <w:t>涡轮增压</w:t>
            </w:r>
          </w:p>
        </w:tc>
        <w:tc>
          <w:tcPr>
            <w:tcW w:w="2590" w:type="dxa"/>
            <w:gridSpan w:val="4"/>
            <w:noWrap/>
            <w:vAlign w:val="top"/>
          </w:tcPr>
          <w:p>
            <w:pPr>
              <w:rPr>
                <w:rFonts w:ascii="宋体" w:hAnsi="宋体"/>
              </w:rPr>
            </w:pPr>
            <w:r>
              <w:rPr>
                <w:rFonts w:hint="eastAsia" w:ascii="宋体" w:hAnsi="宋体"/>
              </w:rPr>
              <w:t>最高润滑油温度（℃）</w:t>
            </w:r>
          </w:p>
        </w:tc>
        <w:tc>
          <w:tcPr>
            <w:tcW w:w="1639" w:type="dxa"/>
            <w:noWrap/>
            <w:vAlign w:val="top"/>
          </w:tcPr>
          <w:p>
            <w:pPr>
              <w:rPr>
                <w:rFonts w:ascii="宋体" w:hAnsi="宋体"/>
              </w:rPr>
            </w:pPr>
            <w:r>
              <w:rPr>
                <w:rFonts w:hint="eastAsia" w:ascii="宋体" w:hAnsi="宋体"/>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641" w:type="dxa"/>
            <w:noWrap/>
            <w:vAlign w:val="top"/>
          </w:tcPr>
          <w:p>
            <w:pPr>
              <w:rPr>
                <w:rFonts w:ascii="宋体" w:hAnsi="宋体"/>
              </w:rPr>
            </w:pPr>
            <w:r>
              <w:rPr>
                <w:rFonts w:hint="eastAsia" w:ascii="宋体" w:hAnsi="宋体"/>
              </w:rPr>
              <w:t>调速方式</w:t>
            </w:r>
          </w:p>
        </w:tc>
        <w:tc>
          <w:tcPr>
            <w:tcW w:w="1811" w:type="dxa"/>
            <w:gridSpan w:val="2"/>
            <w:noWrap/>
            <w:vAlign w:val="center"/>
          </w:tcPr>
          <w:p>
            <w:pPr>
              <w:rPr>
                <w:rFonts w:ascii="宋体" w:hAnsi="宋体"/>
              </w:rPr>
            </w:pPr>
            <w:r>
              <w:rPr>
                <w:rFonts w:hint="eastAsia" w:ascii="宋体" w:hAnsi="宋体"/>
              </w:rPr>
              <w:t>电子调速</w:t>
            </w:r>
          </w:p>
        </w:tc>
        <w:tc>
          <w:tcPr>
            <w:tcW w:w="2590" w:type="dxa"/>
            <w:gridSpan w:val="4"/>
            <w:noWrap/>
            <w:vAlign w:val="top"/>
          </w:tcPr>
          <w:p>
            <w:pPr>
              <w:rPr>
                <w:rFonts w:ascii="宋体" w:hAnsi="宋体"/>
              </w:rPr>
            </w:pPr>
            <w:r>
              <w:rPr>
                <w:rFonts w:hint="eastAsia" w:ascii="宋体" w:hAnsi="宋体"/>
              </w:rPr>
              <w:t>排烟最高温度（℃）</w:t>
            </w:r>
          </w:p>
        </w:tc>
        <w:tc>
          <w:tcPr>
            <w:tcW w:w="1639" w:type="dxa"/>
            <w:noWrap/>
            <w:vAlign w:val="top"/>
          </w:tcPr>
          <w:p>
            <w:pPr>
              <w:rPr>
                <w:rFonts w:ascii="宋体" w:hAnsi="宋体"/>
              </w:rPr>
            </w:pPr>
            <w:r>
              <w:rPr>
                <w:rFonts w:hint="eastAsia" w:ascii="宋体" w:hAnsi="宋体"/>
              </w:rPr>
              <w:t>460/485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681" w:type="dxa"/>
            <w:gridSpan w:val="8"/>
            <w:noWrap/>
            <w:vAlign w:val="top"/>
          </w:tcPr>
          <w:p>
            <w:pPr>
              <w:rPr>
                <w:rFonts w:ascii="宋体" w:hAnsi="宋体"/>
                <w:b/>
                <w:sz w:val="28"/>
                <w:szCs w:val="28"/>
                <w:u w:val="single"/>
              </w:rPr>
            </w:pPr>
            <w:r>
              <w:rPr>
                <w:rFonts w:hint="eastAsia" w:ascii="宋体" w:hAnsi="宋体"/>
                <w:b/>
                <w:sz w:val="24"/>
                <w:szCs w:val="24"/>
              </w:rPr>
              <w:t>发电机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653" w:type="dxa"/>
            <w:gridSpan w:val="2"/>
            <w:noWrap/>
            <w:vAlign w:val="top"/>
          </w:tcPr>
          <w:p>
            <w:pPr>
              <w:rPr>
                <w:rFonts w:ascii="宋体" w:hAnsi="宋体"/>
              </w:rPr>
            </w:pPr>
            <w:r>
              <w:rPr>
                <w:rFonts w:hint="eastAsia" w:ascii="宋体" w:hAnsi="宋体"/>
              </w:rPr>
              <w:t>电压调整范围</w:t>
            </w:r>
          </w:p>
        </w:tc>
        <w:tc>
          <w:tcPr>
            <w:tcW w:w="1858" w:type="dxa"/>
            <w:gridSpan w:val="3"/>
            <w:noWrap/>
            <w:vAlign w:val="top"/>
          </w:tcPr>
          <w:p>
            <w:pPr>
              <w:rPr>
                <w:rFonts w:ascii="宋体" w:hAnsi="宋体"/>
              </w:rPr>
            </w:pPr>
            <w:r>
              <w:rPr>
                <w:rFonts w:hint="eastAsia" w:ascii="宋体" w:hAnsi="宋体"/>
              </w:rPr>
              <w:t>≥±5%</w:t>
            </w:r>
          </w:p>
        </w:tc>
        <w:tc>
          <w:tcPr>
            <w:tcW w:w="2524" w:type="dxa"/>
            <w:noWrap/>
            <w:vAlign w:val="top"/>
          </w:tcPr>
          <w:p>
            <w:pPr>
              <w:rPr>
                <w:rFonts w:ascii="宋体" w:hAnsi="宋体"/>
              </w:rPr>
            </w:pPr>
            <w:r>
              <w:rPr>
                <w:rFonts w:hint="eastAsia" w:ascii="宋体" w:hAnsi="宋体"/>
              </w:rPr>
              <w:t>励磁方式</w:t>
            </w:r>
          </w:p>
        </w:tc>
        <w:tc>
          <w:tcPr>
            <w:tcW w:w="1646" w:type="dxa"/>
            <w:gridSpan w:val="2"/>
            <w:noWrap/>
            <w:vAlign w:val="top"/>
          </w:tcPr>
          <w:p>
            <w:pPr>
              <w:rPr>
                <w:rFonts w:ascii="宋体" w:hAnsi="宋体"/>
              </w:rPr>
            </w:pPr>
            <w:r>
              <w:rPr>
                <w:rFonts w:hint="eastAsia" w:ascii="宋体" w:hAnsi="宋体"/>
              </w:rPr>
              <w:t>有刷自励式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653" w:type="dxa"/>
            <w:gridSpan w:val="2"/>
            <w:noWrap/>
            <w:vAlign w:val="top"/>
          </w:tcPr>
          <w:p>
            <w:pPr>
              <w:rPr>
                <w:rFonts w:ascii="宋体" w:hAnsi="宋体"/>
              </w:rPr>
            </w:pPr>
            <w:r>
              <w:rPr>
                <w:rFonts w:hint="eastAsia" w:ascii="宋体" w:hAnsi="宋体"/>
              </w:rPr>
              <w:t>稳态电压调整率</w:t>
            </w:r>
          </w:p>
        </w:tc>
        <w:tc>
          <w:tcPr>
            <w:tcW w:w="1858" w:type="dxa"/>
            <w:gridSpan w:val="3"/>
            <w:noWrap/>
            <w:vAlign w:val="top"/>
          </w:tcPr>
          <w:p>
            <w:pPr>
              <w:rPr>
                <w:rFonts w:ascii="宋体" w:hAnsi="宋体"/>
              </w:rPr>
            </w:pPr>
            <w:r>
              <w:rPr>
                <w:rFonts w:hint="eastAsia" w:ascii="宋体" w:hAnsi="宋体"/>
              </w:rPr>
              <w:t>±1.0%</w:t>
            </w:r>
          </w:p>
        </w:tc>
        <w:tc>
          <w:tcPr>
            <w:tcW w:w="2524" w:type="dxa"/>
            <w:noWrap/>
            <w:vAlign w:val="top"/>
          </w:tcPr>
          <w:p>
            <w:pPr>
              <w:rPr>
                <w:rFonts w:ascii="宋体" w:hAnsi="宋体"/>
              </w:rPr>
            </w:pPr>
            <w:r>
              <w:rPr>
                <w:rFonts w:hint="eastAsia" w:ascii="宋体" w:hAnsi="宋体"/>
              </w:rPr>
              <w:t>电压控制方式</w:t>
            </w:r>
          </w:p>
        </w:tc>
        <w:tc>
          <w:tcPr>
            <w:tcW w:w="1646" w:type="dxa"/>
            <w:gridSpan w:val="2"/>
            <w:noWrap/>
            <w:vAlign w:val="top"/>
          </w:tcPr>
          <w:p>
            <w:pPr>
              <w:rPr>
                <w:rFonts w:ascii="宋体" w:hAnsi="宋体"/>
              </w:rPr>
            </w:pPr>
            <w:r>
              <w:rPr>
                <w:rFonts w:hint="eastAsia" w:ascii="宋体" w:hAnsi="宋体"/>
              </w:rPr>
              <w:t>AVR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653" w:type="dxa"/>
            <w:gridSpan w:val="2"/>
            <w:noWrap/>
            <w:vAlign w:val="top"/>
          </w:tcPr>
          <w:p>
            <w:pPr>
              <w:rPr>
                <w:rFonts w:ascii="宋体" w:hAnsi="宋体"/>
              </w:rPr>
            </w:pPr>
            <w:r>
              <w:rPr>
                <w:rFonts w:hint="eastAsia" w:ascii="宋体" w:hAnsi="宋体"/>
              </w:rPr>
              <w:t>稳态频率调整率</w:t>
            </w:r>
          </w:p>
        </w:tc>
        <w:tc>
          <w:tcPr>
            <w:tcW w:w="1858" w:type="dxa"/>
            <w:gridSpan w:val="3"/>
            <w:noWrap/>
            <w:vAlign w:val="top"/>
          </w:tcPr>
          <w:p>
            <w:pPr>
              <w:rPr>
                <w:rFonts w:ascii="宋体" w:hAnsi="宋体"/>
              </w:rPr>
            </w:pPr>
            <w:r>
              <w:rPr>
                <w:rFonts w:hint="eastAsia" w:ascii="宋体" w:hAnsi="宋体"/>
              </w:rPr>
              <w:t>≤1%</w:t>
            </w:r>
          </w:p>
        </w:tc>
        <w:tc>
          <w:tcPr>
            <w:tcW w:w="2524" w:type="dxa"/>
            <w:noWrap/>
            <w:vAlign w:val="top"/>
          </w:tcPr>
          <w:p>
            <w:pPr>
              <w:rPr>
                <w:rFonts w:ascii="宋体" w:hAnsi="宋体"/>
              </w:rPr>
            </w:pPr>
            <w:r>
              <w:rPr>
                <w:rFonts w:hint="eastAsia" w:ascii="宋体" w:hAnsi="宋体"/>
              </w:rPr>
              <w:t>瞬态电压调整率</w:t>
            </w:r>
          </w:p>
        </w:tc>
        <w:tc>
          <w:tcPr>
            <w:tcW w:w="1646" w:type="dxa"/>
            <w:gridSpan w:val="2"/>
            <w:noWrap/>
            <w:vAlign w:val="top"/>
          </w:tcPr>
          <w:p>
            <w:pPr>
              <w:rPr>
                <w:rFonts w:ascii="宋体" w:hAnsi="宋体"/>
              </w:rPr>
            </w:pPr>
            <w:r>
              <w:rPr>
                <w:rFonts w:hint="eastAsia" w:ascii="宋体" w:hAnsi="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653" w:type="dxa"/>
            <w:gridSpan w:val="2"/>
            <w:noWrap/>
            <w:vAlign w:val="top"/>
          </w:tcPr>
          <w:p>
            <w:pPr>
              <w:rPr>
                <w:rFonts w:ascii="宋体" w:hAnsi="宋体"/>
              </w:rPr>
            </w:pPr>
            <w:r>
              <w:rPr>
                <w:rFonts w:hint="eastAsia" w:ascii="宋体" w:hAnsi="宋体"/>
              </w:rPr>
              <w:t>温升</w:t>
            </w:r>
          </w:p>
        </w:tc>
        <w:tc>
          <w:tcPr>
            <w:tcW w:w="1858" w:type="dxa"/>
            <w:gridSpan w:val="3"/>
            <w:noWrap/>
            <w:vAlign w:val="top"/>
          </w:tcPr>
          <w:p>
            <w:pPr>
              <w:rPr>
                <w:rFonts w:ascii="宋体" w:hAnsi="宋体"/>
              </w:rPr>
            </w:pPr>
            <w:r>
              <w:rPr>
                <w:rFonts w:ascii="宋体" w:hAnsi="宋体"/>
              </w:rPr>
              <w:t>H</w:t>
            </w:r>
            <w:r>
              <w:rPr>
                <w:rFonts w:hint="eastAsia" w:ascii="宋体" w:hAnsi="宋体" w:cs="幼圆+′_x0003_..."/>
                <w:color w:val="000000"/>
                <w:kern w:val="0"/>
                <w:szCs w:val="21"/>
              </w:rPr>
              <w:t>℃</w:t>
            </w:r>
          </w:p>
        </w:tc>
        <w:tc>
          <w:tcPr>
            <w:tcW w:w="2524" w:type="dxa"/>
            <w:noWrap/>
            <w:vAlign w:val="top"/>
          </w:tcPr>
          <w:p>
            <w:pPr>
              <w:rPr>
                <w:rFonts w:ascii="宋体" w:hAnsi="宋体"/>
              </w:rPr>
            </w:pPr>
            <w:r>
              <w:rPr>
                <w:rFonts w:hint="eastAsia" w:ascii="宋体" w:hAnsi="宋体"/>
              </w:rPr>
              <w:t>频率稳定时间</w:t>
            </w:r>
          </w:p>
        </w:tc>
        <w:tc>
          <w:tcPr>
            <w:tcW w:w="1646" w:type="dxa"/>
            <w:gridSpan w:val="2"/>
            <w:noWrap/>
            <w:vAlign w:val="top"/>
          </w:tcPr>
          <w:p>
            <w:pPr>
              <w:rPr>
                <w:rFonts w:ascii="宋体" w:hAnsi="宋体"/>
              </w:rPr>
            </w:pPr>
            <w:r>
              <w:rPr>
                <w:rFonts w:hint="eastAsia" w:ascii="宋体" w:hAnsi="宋体"/>
              </w:rPr>
              <w:t>≤2S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653" w:type="dxa"/>
            <w:gridSpan w:val="2"/>
            <w:noWrap/>
            <w:vAlign w:val="top"/>
          </w:tcPr>
          <w:p>
            <w:pPr>
              <w:rPr>
                <w:rFonts w:ascii="宋体" w:hAnsi="宋体"/>
              </w:rPr>
            </w:pPr>
            <w:r>
              <w:rPr>
                <w:rFonts w:hint="eastAsia" w:ascii="宋体" w:hAnsi="宋体"/>
              </w:rPr>
              <w:t>绝缘等级</w:t>
            </w:r>
          </w:p>
        </w:tc>
        <w:tc>
          <w:tcPr>
            <w:tcW w:w="1858" w:type="dxa"/>
            <w:gridSpan w:val="3"/>
            <w:noWrap/>
            <w:vAlign w:val="top"/>
          </w:tcPr>
          <w:p>
            <w:pPr>
              <w:rPr>
                <w:rFonts w:ascii="宋体" w:hAnsi="宋体"/>
              </w:rPr>
            </w:pPr>
            <w:r>
              <w:rPr>
                <w:rFonts w:hint="eastAsia" w:ascii="宋体" w:hAnsi="宋体"/>
              </w:rPr>
              <w:t>F级</w:t>
            </w:r>
          </w:p>
        </w:tc>
        <w:tc>
          <w:tcPr>
            <w:tcW w:w="2524" w:type="dxa"/>
            <w:noWrap/>
            <w:vAlign w:val="top"/>
          </w:tcPr>
          <w:p>
            <w:pPr>
              <w:rPr>
                <w:rFonts w:ascii="宋体" w:hAnsi="宋体"/>
              </w:rPr>
            </w:pPr>
            <w:r>
              <w:rPr>
                <w:rFonts w:hint="eastAsia" w:ascii="宋体" w:hAnsi="宋体"/>
              </w:rPr>
              <w:t>过电流</w:t>
            </w:r>
          </w:p>
        </w:tc>
        <w:tc>
          <w:tcPr>
            <w:tcW w:w="1646" w:type="dxa"/>
            <w:gridSpan w:val="2"/>
            <w:noWrap/>
            <w:vAlign w:val="top"/>
          </w:tcPr>
          <w:p>
            <w:pPr>
              <w:rPr>
                <w:rFonts w:ascii="宋体" w:hAnsi="宋体"/>
              </w:rPr>
            </w:pPr>
            <w:r>
              <w:rPr>
                <w:rFonts w:hint="eastAsia" w:ascii="宋体" w:hAnsi="宋体"/>
              </w:rPr>
              <w:t>3～5le≥5S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653" w:type="dxa"/>
            <w:gridSpan w:val="2"/>
            <w:noWrap/>
            <w:vAlign w:val="top"/>
          </w:tcPr>
          <w:p>
            <w:pPr>
              <w:rPr>
                <w:rFonts w:ascii="宋体" w:hAnsi="宋体"/>
              </w:rPr>
            </w:pPr>
            <w:r>
              <w:rPr>
                <w:rFonts w:hint="eastAsia" w:ascii="宋体" w:hAnsi="宋体"/>
              </w:rPr>
              <w:t>防护等级</w:t>
            </w:r>
          </w:p>
        </w:tc>
        <w:tc>
          <w:tcPr>
            <w:tcW w:w="1858" w:type="dxa"/>
            <w:gridSpan w:val="3"/>
            <w:noWrap/>
            <w:vAlign w:val="top"/>
          </w:tcPr>
          <w:p>
            <w:pPr>
              <w:rPr>
                <w:rFonts w:ascii="宋体" w:hAnsi="宋体"/>
              </w:rPr>
            </w:pPr>
            <w:r>
              <w:rPr>
                <w:rFonts w:hint="eastAsia" w:ascii="宋体" w:hAnsi="宋体"/>
              </w:rPr>
              <w:t>IP23级</w:t>
            </w:r>
          </w:p>
        </w:tc>
        <w:tc>
          <w:tcPr>
            <w:tcW w:w="2524" w:type="dxa"/>
            <w:noWrap/>
            <w:vAlign w:val="top"/>
          </w:tcPr>
          <w:p>
            <w:pPr>
              <w:rPr>
                <w:rFonts w:ascii="宋体" w:hAnsi="宋体"/>
              </w:rPr>
            </w:pPr>
            <w:r>
              <w:rPr>
                <w:rFonts w:hint="eastAsia" w:ascii="宋体" w:hAnsi="宋体"/>
              </w:rPr>
              <w:t>过载能力</w:t>
            </w:r>
          </w:p>
        </w:tc>
        <w:tc>
          <w:tcPr>
            <w:tcW w:w="1646" w:type="dxa"/>
            <w:gridSpan w:val="2"/>
            <w:noWrap/>
            <w:vAlign w:val="top"/>
          </w:tcPr>
          <w:p>
            <w:pPr>
              <w:rPr>
                <w:rFonts w:ascii="宋体" w:hAnsi="宋体"/>
              </w:rPr>
            </w:pPr>
            <w:r>
              <w:rPr>
                <w:rFonts w:hint="eastAsia" w:ascii="宋体" w:hAnsi="宋体"/>
              </w:rPr>
              <w:t>1.5倍2分钟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653" w:type="dxa"/>
            <w:gridSpan w:val="2"/>
            <w:noWrap/>
            <w:vAlign w:val="top"/>
          </w:tcPr>
          <w:p>
            <w:pPr>
              <w:rPr>
                <w:rFonts w:ascii="宋体" w:hAnsi="宋体"/>
              </w:rPr>
            </w:pPr>
            <w:r>
              <w:rPr>
                <w:rFonts w:hint="eastAsia" w:ascii="宋体" w:hAnsi="宋体"/>
              </w:rPr>
              <w:t>效率</w:t>
            </w:r>
          </w:p>
        </w:tc>
        <w:tc>
          <w:tcPr>
            <w:tcW w:w="1858" w:type="dxa"/>
            <w:gridSpan w:val="3"/>
            <w:noWrap/>
            <w:vAlign w:val="top"/>
          </w:tcPr>
          <w:p>
            <w:pPr>
              <w:rPr>
                <w:rFonts w:ascii="宋体" w:hAnsi="宋体"/>
              </w:rPr>
            </w:pPr>
            <w:r>
              <w:rPr>
                <w:rFonts w:hint="eastAsia" w:ascii="宋体" w:hAnsi="宋体"/>
              </w:rPr>
              <w:t>94.2%</w:t>
            </w:r>
          </w:p>
        </w:tc>
        <w:tc>
          <w:tcPr>
            <w:tcW w:w="2524" w:type="dxa"/>
            <w:noWrap/>
            <w:vAlign w:val="top"/>
          </w:tcPr>
          <w:p>
            <w:pPr>
              <w:rPr>
                <w:rFonts w:ascii="宋体" w:hAnsi="宋体"/>
              </w:rPr>
            </w:pPr>
            <w:r>
              <w:rPr>
                <w:rFonts w:hint="eastAsia" w:ascii="宋体" w:hAnsi="宋体"/>
              </w:rPr>
              <w:t>短路能力</w:t>
            </w:r>
          </w:p>
        </w:tc>
        <w:tc>
          <w:tcPr>
            <w:tcW w:w="1646" w:type="dxa"/>
            <w:gridSpan w:val="2"/>
            <w:noWrap/>
            <w:vAlign w:val="top"/>
          </w:tcPr>
          <w:p>
            <w:pPr>
              <w:rPr>
                <w:rFonts w:ascii="宋体" w:hAnsi="宋体"/>
              </w:rPr>
            </w:pPr>
            <w:r>
              <w:rPr>
                <w:rFonts w:hint="eastAsia" w:ascii="宋体" w:hAnsi="宋体"/>
              </w:rPr>
              <w:t>3倍2秒钟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653" w:type="dxa"/>
            <w:gridSpan w:val="2"/>
            <w:noWrap/>
            <w:vAlign w:val="top"/>
          </w:tcPr>
          <w:p>
            <w:pPr>
              <w:rPr>
                <w:rFonts w:ascii="宋体" w:hAnsi="宋体"/>
              </w:rPr>
            </w:pPr>
            <w:r>
              <w:rPr>
                <w:rFonts w:hint="eastAsia" w:ascii="宋体" w:hAnsi="宋体"/>
              </w:rPr>
              <w:t>电话干扰系数</w:t>
            </w:r>
          </w:p>
        </w:tc>
        <w:tc>
          <w:tcPr>
            <w:tcW w:w="1858" w:type="dxa"/>
            <w:gridSpan w:val="3"/>
            <w:noWrap/>
            <w:vAlign w:val="top"/>
          </w:tcPr>
          <w:p>
            <w:pPr>
              <w:rPr>
                <w:rFonts w:ascii="宋体" w:hAnsi="宋体"/>
              </w:rPr>
            </w:pPr>
            <w:r>
              <w:rPr>
                <w:rFonts w:hint="eastAsia" w:ascii="宋体" w:hAnsi="宋体"/>
              </w:rPr>
              <w:t>THF&lt;2%,  TIF&lt;50</w:t>
            </w:r>
          </w:p>
        </w:tc>
        <w:tc>
          <w:tcPr>
            <w:tcW w:w="2524" w:type="dxa"/>
            <w:noWrap/>
            <w:vAlign w:val="top"/>
          </w:tcPr>
          <w:p>
            <w:pPr>
              <w:rPr>
                <w:rFonts w:ascii="宋体" w:hAnsi="宋体"/>
              </w:rPr>
            </w:pPr>
            <w:r>
              <w:rPr>
                <w:rFonts w:hint="eastAsia" w:ascii="宋体" w:hAnsi="宋体"/>
              </w:rPr>
              <w:t>冷却方式</w:t>
            </w:r>
          </w:p>
        </w:tc>
        <w:tc>
          <w:tcPr>
            <w:tcW w:w="1646" w:type="dxa"/>
            <w:gridSpan w:val="2"/>
            <w:noWrap/>
            <w:vAlign w:val="top"/>
          </w:tcPr>
          <w:p>
            <w:pPr>
              <w:rPr>
                <w:rFonts w:ascii="宋体" w:hAnsi="宋体"/>
              </w:rPr>
            </w:pPr>
            <w:r>
              <w:rPr>
                <w:rFonts w:hint="eastAsia" w:ascii="宋体" w:hAnsi="宋体"/>
              </w:rPr>
              <w:t>自冷式</w:t>
            </w:r>
          </w:p>
        </w:tc>
      </w:tr>
    </w:tbl>
    <w:p>
      <w:pPr>
        <w:pStyle w:val="2"/>
        <w:ind w:firstLine="0" w:firstLineChars="0"/>
      </w:pPr>
    </w:p>
    <w:p>
      <w:pPr>
        <w:pStyle w:val="2"/>
        <w:ind w:firstLine="0" w:firstLineChars="0"/>
        <w:rPr>
          <w:rFonts w:ascii="仿宋" w:hAnsi="仿宋" w:eastAsia="仿宋"/>
          <w:sz w:val="24"/>
          <w:szCs w:val="24"/>
        </w:rPr>
      </w:pPr>
    </w:p>
    <w:p>
      <w:pPr>
        <w:spacing w:line="360" w:lineRule="auto"/>
        <w:ind w:firstLine="480"/>
        <w:rPr>
          <w:rFonts w:hint="eastAsia"/>
        </w:rPr>
      </w:pPr>
      <w:r>
        <w:rPr>
          <w:rFonts w:hint="eastAsia" w:ascii="宋体" w:hAnsi="宋体" w:cs="宋体"/>
          <w:sz w:val="24"/>
          <w:szCs w:val="24"/>
        </w:rPr>
        <w:t>2、质保期：</w:t>
      </w:r>
      <w:r>
        <w:t>供货方须对合同中规定的设备提供至少 24 个月的质保期及免费维修和保养，时间从安装并调试运行结束后算起。如一切因厂方组装疏忽、设计及原材料不当影响发电机组的正常运行，均由本公司负责修妥。</w:t>
      </w:r>
    </w:p>
    <w:p>
      <w:pPr>
        <w:spacing w:line="360" w:lineRule="auto"/>
        <w:ind w:firstLine="480"/>
        <w:rPr>
          <w:rFonts w:hint="eastAsia"/>
        </w:rPr>
      </w:pPr>
      <w:r>
        <w:t xml:space="preserve"> 采购品牌必须具备 24 小时服务和承担所有 维修服务的能力。维修人员接到维修电话后须在 3 小时内赶到现场，并提供 不间断的服务直到结束。维修点需提供足够的备件以适应维修需求。 发生紧急抢修事故时，供方在接到事故通知后，应当立即到达事故现场 抢修。 质保期内供货方须自行付费，负责修理和替换任何由于设备自身的质量 问题造成的损坏及故障。 </w:t>
      </w:r>
    </w:p>
    <w:p>
      <w:pPr>
        <w:spacing w:line="360" w:lineRule="auto"/>
        <w:ind w:firstLine="480"/>
        <w:rPr>
          <w:rFonts w:hint="eastAsia"/>
        </w:rPr>
      </w:pPr>
      <w:r>
        <w:t>在缺陷维修结束时，须由专业工程师对设备进行另一次测试，任何故障 须由供货方自费解决并取得招标人的同意。故障修复后，供货方需提供一式 两份报告给采购方，包括故障原因，解决措施，完成修理所费时间及恢复正 常运行日期。所维修项目应保证在六个月内不再出现类似问题。</w:t>
      </w:r>
    </w:p>
    <w:p>
      <w:pPr>
        <w:spacing w:line="360" w:lineRule="auto"/>
        <w:ind w:firstLine="480"/>
        <w:rPr>
          <w:rFonts w:ascii="宋体" w:hAnsi="宋体" w:cs="宋体"/>
          <w:sz w:val="24"/>
          <w:szCs w:val="24"/>
        </w:rPr>
      </w:pPr>
      <w:r>
        <w:rPr>
          <w:rFonts w:hint="eastAsia" w:ascii="宋体" w:hAnsi="宋体" w:cs="宋体"/>
          <w:sz w:val="24"/>
          <w:szCs w:val="24"/>
        </w:rPr>
        <w:t>3、供货方式：供方负责送货，从供方至需方的运杂费、上下力资（包括退换货的等一切费）等均由供货方负责。</w:t>
      </w:r>
    </w:p>
    <w:p>
      <w:pPr>
        <w:spacing w:line="360" w:lineRule="auto"/>
        <w:ind w:firstLine="480" w:firstLineChars="200"/>
        <w:rPr>
          <w:rFonts w:hint="eastAsia" w:ascii="宋体" w:hAnsi="宋体" w:cs="宋体"/>
          <w:bCs/>
          <w:sz w:val="24"/>
          <w:szCs w:val="24"/>
        </w:rPr>
      </w:pPr>
      <w:r>
        <w:rPr>
          <w:rFonts w:hint="eastAsia" w:ascii="宋体" w:hAnsi="宋体" w:cs="宋体"/>
          <w:sz w:val="24"/>
          <w:szCs w:val="24"/>
        </w:rPr>
        <w:t>4、交货期限：</w:t>
      </w:r>
      <w:r>
        <w:rPr>
          <w:rFonts w:hint="eastAsia" w:ascii="宋体" w:hAnsi="宋体" w:cs="宋体"/>
          <w:bCs/>
          <w:sz w:val="24"/>
          <w:szCs w:val="24"/>
        </w:rPr>
        <w:t>合同签订后中标供应商接到甲方供货通知后30天内交货。如成交供应商逾期交货，除不可抗力外，成交供应商应向采购人就逾期交货部分支付违约金，具体支付比例如下：</w:t>
      </w: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迟交1～3天，每天违约金金额为逾期交货部分总价款的千分之三；</w:t>
      </w: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迟交3～7天，每天违约金金额为逾期交货部分总价款的千分之五；</w:t>
      </w: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迟交7～15天，每天违约金金额为逾期交货部分总价款的千分之八，如因此严重延误施工工期的，则视为成交供应商不履行合同。</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成交供应商逾期交货超过15天以上的视为乙方不履行合同。采购人有权终止合同，乙方支付迟交违约金及扣除履约保证金，并在3年内不得参与甲方组织的招投标活动。</w:t>
      </w:r>
    </w:p>
    <w:p>
      <w:pPr>
        <w:spacing w:line="360" w:lineRule="auto"/>
        <w:ind w:firstLine="480" w:firstLineChars="200"/>
        <w:rPr>
          <w:rFonts w:hint="eastAsia" w:ascii="宋体" w:hAnsi="宋体"/>
          <w:color w:val="000000"/>
          <w:kern w:val="0"/>
          <w:sz w:val="24"/>
          <w:szCs w:val="24"/>
          <w:u w:val="none" w:color="000000"/>
        </w:rPr>
      </w:pPr>
      <w:r>
        <w:rPr>
          <w:rFonts w:hint="eastAsia" w:ascii="宋体" w:hAnsi="宋体"/>
          <w:color w:val="000000"/>
          <w:kern w:val="0"/>
          <w:sz w:val="24"/>
          <w:szCs w:val="24"/>
          <w:u w:val="none" w:color="000000"/>
        </w:rPr>
        <w:t>如成交供应商不按照采购人要求将合同货物送达采购人指定地点的，每次支付违约金为逾期交货部分总价款的千分之八。情节严重的，按违约处理。</w:t>
      </w:r>
    </w:p>
    <w:p>
      <w:pPr>
        <w:spacing w:line="360" w:lineRule="auto"/>
        <w:ind w:firstLine="480" w:firstLineChars="200"/>
        <w:rPr>
          <w:rFonts w:ascii="宋体" w:hAnsi="宋体" w:cs="宋体"/>
          <w:sz w:val="24"/>
          <w:szCs w:val="24"/>
        </w:rPr>
      </w:pPr>
      <w:r>
        <w:rPr>
          <w:rFonts w:hint="eastAsia" w:ascii="宋体" w:hAnsi="宋体" w:cs="宋体"/>
          <w:bCs/>
          <w:sz w:val="24"/>
          <w:szCs w:val="24"/>
        </w:rPr>
        <w:t>5、评标办法：本次采购项目采用最低价评标法。投标单位中</w:t>
      </w:r>
      <w:r>
        <w:rPr>
          <w:rFonts w:hint="eastAsia" w:ascii="宋体" w:hAnsi="宋体" w:cs="宋体"/>
          <w:sz w:val="24"/>
          <w:szCs w:val="24"/>
        </w:rPr>
        <w:t>标后，如若中途毁约，则取消下次投标资格，并扣除投标保证金。如发生产品质量问题由供方全额赔偿经济损失。</w:t>
      </w:r>
    </w:p>
    <w:p>
      <w:pPr>
        <w:pStyle w:val="378"/>
        <w:widowControl/>
        <w:wordWrap w:val="0"/>
        <w:spacing w:line="336" w:lineRule="auto"/>
        <w:ind w:firstLine="480" w:firstLineChars="200"/>
        <w:jc w:val="left"/>
        <w:rPr>
          <w:rFonts w:ascii="宋体" w:hAnsi="宋体" w:cs="宋体"/>
          <w:sz w:val="24"/>
          <w:szCs w:val="24"/>
        </w:rPr>
      </w:pPr>
      <w:r>
        <w:rPr>
          <w:rFonts w:hint="eastAsia" w:ascii="宋体" w:hAnsi="宋体" w:cs="宋体"/>
          <w:sz w:val="24"/>
          <w:szCs w:val="24"/>
        </w:rPr>
        <w:t xml:space="preserve">   四、有关说明</w:t>
      </w:r>
    </w:p>
    <w:p>
      <w:pPr>
        <w:spacing w:line="360" w:lineRule="auto"/>
        <w:ind w:firstLine="480" w:firstLineChars="200"/>
        <w:rPr>
          <w:rFonts w:ascii="宋体" w:hAnsi="宋体" w:cs="宋体"/>
          <w:sz w:val="24"/>
          <w:szCs w:val="24"/>
        </w:rPr>
      </w:pPr>
      <w:r>
        <w:rPr>
          <w:rFonts w:hint="eastAsia" w:ascii="宋体" w:hAnsi="宋体" w:cs="宋体"/>
          <w:sz w:val="24"/>
          <w:szCs w:val="24"/>
        </w:rPr>
        <w:t>1、本</w:t>
      </w:r>
      <w:r>
        <w:rPr>
          <w:rFonts w:hint="eastAsia" w:ascii="宋体" w:hAnsi="宋体" w:cs="宋体"/>
          <w:bCs/>
          <w:sz w:val="24"/>
          <w:szCs w:val="24"/>
        </w:rPr>
        <w:t>采购</w:t>
      </w:r>
      <w:r>
        <w:rPr>
          <w:rFonts w:hint="eastAsia" w:ascii="宋体" w:hAnsi="宋体" w:cs="宋体"/>
          <w:sz w:val="24"/>
          <w:szCs w:val="24"/>
        </w:rPr>
        <w:t>文件中有关技术与商务条款的相关要求为基准要求，如投标人不能完全符合此基准要求，可高于此基准要求进行投标，采购人将不接受低于该基准要求（负偏离）的投标，投标人需对此基</w:t>
      </w:r>
      <w:r>
        <w:rPr>
          <w:rFonts w:hint="eastAsia" w:ascii="宋体" w:hAnsi="宋体" w:cs="宋体"/>
          <w:bCs/>
          <w:sz w:val="24"/>
          <w:szCs w:val="24"/>
        </w:rPr>
        <w:t>准要求作实质性响应。</w:t>
      </w:r>
    </w:p>
    <w:p>
      <w:pPr>
        <w:pStyle w:val="519"/>
        <w:spacing w:line="380" w:lineRule="exact"/>
        <w:ind w:firstLine="490"/>
        <w:rPr>
          <w:rFonts w:hint="eastAsia" w:ascii="宋体" w:hAnsi="宋体" w:cs="宋体"/>
          <w:color w:val="000000"/>
          <w:kern w:val="0"/>
          <w:sz w:val="24"/>
        </w:rPr>
      </w:pPr>
      <w:r>
        <w:rPr>
          <w:rFonts w:hint="eastAsia" w:ascii="宋体" w:hAnsi="宋体" w:cs="宋体"/>
          <w:bCs/>
          <w:sz w:val="24"/>
          <w:szCs w:val="24"/>
        </w:rPr>
        <w:t>2、供货周期：</w:t>
      </w:r>
      <w:r>
        <w:rPr>
          <w:rFonts w:hint="eastAsia" w:ascii="宋体" w:hAnsi="宋体" w:cs="宋体"/>
          <w:color w:val="000000"/>
          <w:kern w:val="0"/>
          <w:sz w:val="24"/>
          <w:highlight w:val="yellow"/>
        </w:rPr>
        <w:t>本次招标的设备接到发货通知之日起30日内必须把货物送达需方指定的供货现场。到货时间以施工单位、监理及现场负责人共同签收时间为准。</w:t>
      </w:r>
    </w:p>
    <w:p>
      <w:pPr>
        <w:spacing w:line="360" w:lineRule="auto"/>
        <w:ind w:firstLine="480" w:firstLineChars="200"/>
        <w:rPr>
          <w:rFonts w:ascii="宋体" w:hAnsi="宋体" w:cs="宋体"/>
          <w:bCs/>
          <w:sz w:val="24"/>
          <w:szCs w:val="24"/>
        </w:rPr>
      </w:pPr>
      <w:r>
        <w:rPr>
          <w:rFonts w:hint="eastAsia" w:ascii="宋体" w:hAnsi="宋体" w:cs="宋体"/>
          <w:bCs/>
          <w:sz w:val="24"/>
          <w:szCs w:val="24"/>
        </w:rPr>
        <w:t>3、服务地点：采购人指定地点（宜兴市范围内）。</w:t>
      </w: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4、验收标准：采购人组织相关单位验收，验收内容包括数量、规格、外观、质量和出厂合格证。中标后全面响应供货过程的质量与服务承诺,本公司进行来样必检的验收程序，若甲方检测发现指标不符合招标文件要求，扣除剩余所有货款并立即终止合同。如因产品质量不合格导致我其它损失，将一并追究供货方法律责任。</w:t>
      </w:r>
    </w:p>
    <w:p>
      <w:pPr>
        <w:spacing w:line="360" w:lineRule="auto"/>
        <w:ind w:firstLine="480" w:firstLineChars="200"/>
        <w:rPr>
          <w:rFonts w:ascii="宋体" w:hAnsi="宋体" w:cs="宋体"/>
          <w:bCs/>
          <w:sz w:val="24"/>
          <w:szCs w:val="24"/>
          <w:highlight w:val="yellow"/>
        </w:rPr>
      </w:pPr>
      <w:r>
        <w:rPr>
          <w:rFonts w:hint="eastAsia" w:ascii="宋体" w:hAnsi="宋体" w:cs="宋体"/>
          <w:bCs/>
          <w:sz w:val="24"/>
          <w:szCs w:val="24"/>
          <w:highlight w:val="yellow"/>
        </w:rPr>
        <w:t>5、付款步骤：（1）原则上供货后，第二个月结算一次，每月25日为结算截止日期。合同货物送抵需方指定的施工现场或仓库，经需方现场验收合格，每月25日前开具所供货物的全额税务发票（附送货签收回单），办理入库手续后，需方在30日内支付发票金额90%的货款；</w:t>
      </w:r>
    </w:p>
    <w:p>
      <w:pPr>
        <w:spacing w:line="360" w:lineRule="auto"/>
        <w:ind w:firstLine="480" w:firstLineChars="200"/>
        <w:rPr>
          <w:rFonts w:ascii="宋体" w:hAnsi="宋体" w:cs="宋体"/>
          <w:bCs/>
          <w:sz w:val="24"/>
          <w:szCs w:val="24"/>
          <w:highlight w:val="yellow"/>
        </w:rPr>
      </w:pPr>
      <w:r>
        <w:rPr>
          <w:rFonts w:hint="eastAsia" w:ascii="宋体" w:hAnsi="宋体" w:cs="宋体"/>
          <w:bCs/>
          <w:sz w:val="24"/>
          <w:szCs w:val="24"/>
          <w:highlight w:val="yellow"/>
        </w:rPr>
        <w:t>（2）余款10%作为质保金，在质保期一年满后15日内一次性付清。</w:t>
      </w: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highlight w:val="yellow"/>
        </w:rPr>
        <w:t>（由于财政结算等流程设计问题，特殊情况结算会滞后）</w:t>
      </w:r>
      <w:bookmarkEnd w:id="69"/>
      <w:bookmarkEnd w:id="70"/>
      <w:bookmarkEnd w:id="71"/>
      <w:bookmarkEnd w:id="72"/>
      <w:bookmarkEnd w:id="73"/>
      <w:bookmarkEnd w:id="74"/>
      <w:bookmarkEnd w:id="75"/>
    </w:p>
    <w:p>
      <w:pPr>
        <w:pStyle w:val="2"/>
        <w:ind w:firstLine="210"/>
        <w:rPr>
          <w:rFonts w:hint="eastAsia"/>
        </w:rPr>
      </w:pPr>
    </w:p>
    <w:p>
      <w:pPr>
        <w:pStyle w:val="518"/>
        <w:keepNext/>
        <w:keepLines/>
        <w:pageBreakBefore/>
        <w:spacing w:line="576" w:lineRule="auto"/>
        <w:jc w:val="center"/>
        <w:outlineLvl w:val="0"/>
        <w:rPr>
          <w:b/>
          <w:sz w:val="44"/>
          <w:szCs w:val="44"/>
        </w:rPr>
      </w:pPr>
      <w:bookmarkStart w:id="78" w:name="_Toc15563261"/>
      <w:bookmarkStart w:id="79" w:name="_Toc476061425"/>
      <w:bookmarkStart w:id="80" w:name="_Toc32924755"/>
      <w:bookmarkStart w:id="81" w:name="_Toc498350707"/>
      <w:r>
        <w:rPr>
          <w:rFonts w:hint="eastAsia"/>
          <w:b/>
          <w:sz w:val="44"/>
          <w:szCs w:val="44"/>
          <w:highlight w:val="white"/>
        </w:rPr>
        <w:t>合同条款及格式</w:t>
      </w:r>
      <w:bookmarkEnd w:id="78"/>
      <w:bookmarkEnd w:id="79"/>
      <w:bookmarkEnd w:id="80"/>
      <w:bookmarkEnd w:id="81"/>
    </w:p>
    <w:p>
      <w:pPr>
        <w:pStyle w:val="518"/>
        <w:rPr>
          <w:highlight w:val="red"/>
        </w:rPr>
      </w:pPr>
    </w:p>
    <w:p>
      <w:pPr>
        <w:pStyle w:val="347"/>
        <w:jc w:val="center"/>
        <w:rPr>
          <w:b w:val="0"/>
          <w:kern w:val="2"/>
          <w:sz w:val="28"/>
        </w:rPr>
      </w:pPr>
      <w:bookmarkStart w:id="82" w:name="_Toc464206274"/>
      <w:bookmarkStart w:id="83" w:name="_Toc395096185"/>
      <w:bookmarkStart w:id="84" w:name="_Toc459706761"/>
      <w:r>
        <w:rPr>
          <w:rFonts w:hint="eastAsia"/>
          <w:b w:val="0"/>
          <w:kern w:val="2"/>
          <w:sz w:val="28"/>
        </w:rPr>
        <w:t>第一部分</w:t>
      </w:r>
      <w:r>
        <w:rPr>
          <w:b w:val="0"/>
          <w:kern w:val="2"/>
          <w:sz w:val="28"/>
        </w:rPr>
        <w:t xml:space="preserve"> </w:t>
      </w:r>
      <w:r>
        <w:rPr>
          <w:rFonts w:hint="eastAsia"/>
          <w:b w:val="0"/>
          <w:kern w:val="2"/>
          <w:sz w:val="28"/>
        </w:rPr>
        <w:t>协议书</w:t>
      </w:r>
    </w:p>
    <w:bookmarkEnd w:id="82"/>
    <w:bookmarkEnd w:id="83"/>
    <w:bookmarkEnd w:id="84"/>
    <w:p>
      <w:pPr>
        <w:pStyle w:val="519"/>
        <w:spacing w:line="380" w:lineRule="exact"/>
        <w:ind w:firstLine="490"/>
        <w:rPr>
          <w:rFonts w:ascii="宋体"/>
          <w:sz w:val="24"/>
          <w:u w:val="single"/>
        </w:rPr>
      </w:pPr>
      <w:r>
        <w:rPr>
          <w:rFonts w:hint="eastAsia" w:ascii="宋体" w:hAnsi="宋体"/>
          <w:sz w:val="24"/>
        </w:rPr>
        <w:t>发包人（即甲方，全称）：</w:t>
      </w:r>
    </w:p>
    <w:p>
      <w:pPr>
        <w:pStyle w:val="519"/>
        <w:spacing w:line="380" w:lineRule="exact"/>
        <w:ind w:firstLine="490"/>
        <w:rPr>
          <w:rFonts w:ascii="宋体"/>
          <w:sz w:val="24"/>
          <w:u w:val="single"/>
        </w:rPr>
      </w:pPr>
      <w:r>
        <w:rPr>
          <w:rFonts w:hint="eastAsia" w:ascii="宋体" w:hAnsi="宋体"/>
          <w:sz w:val="24"/>
        </w:rPr>
        <w:t>承包人（即乙方，全称）：</w:t>
      </w:r>
    </w:p>
    <w:p>
      <w:pPr>
        <w:pStyle w:val="519"/>
        <w:spacing w:line="380" w:lineRule="exact"/>
        <w:ind w:firstLine="490"/>
        <w:rPr>
          <w:rFonts w:ascii="宋体"/>
          <w:sz w:val="24"/>
        </w:rPr>
      </w:pPr>
      <w:r>
        <w:rPr>
          <w:rFonts w:hint="eastAsia" w:ascii="宋体" w:hAnsi="宋体"/>
          <w:sz w:val="24"/>
        </w:rPr>
        <w:t>一、依照《中华人民共和国合同法》及其他有关法律、行政法规，遵循平等、自愿、公平和诚实信用的原则，双方就本设备项目协商一致，订立本合同。</w:t>
      </w:r>
    </w:p>
    <w:p>
      <w:pPr>
        <w:pStyle w:val="519"/>
        <w:spacing w:line="380" w:lineRule="exact"/>
        <w:ind w:firstLine="490"/>
        <w:rPr>
          <w:rFonts w:ascii="宋体"/>
          <w:sz w:val="24"/>
        </w:rPr>
      </w:pPr>
      <w:r>
        <w:rPr>
          <w:rFonts w:hint="eastAsia" w:ascii="宋体" w:hAnsi="宋体"/>
          <w:sz w:val="24"/>
        </w:rPr>
        <w:t>二、质量标准</w:t>
      </w:r>
    </w:p>
    <w:p>
      <w:pPr>
        <w:pStyle w:val="519"/>
        <w:spacing w:after="120" w:line="380" w:lineRule="exact"/>
        <w:rPr>
          <w:color w:val="000000"/>
          <w:sz w:val="24"/>
        </w:rPr>
      </w:pPr>
      <w:r>
        <w:rPr>
          <w:rFonts w:hint="eastAsia"/>
          <w:color w:val="000000"/>
          <w:sz w:val="24"/>
        </w:rPr>
        <w:t>符合国家现行有关标准、相关行业规范及招标人要求，由发包单位负责验收。货物送达现场后需方组织相关人员对货物进行验收。</w:t>
      </w:r>
    </w:p>
    <w:p>
      <w:pPr>
        <w:pStyle w:val="519"/>
        <w:spacing w:after="120" w:line="380" w:lineRule="exact"/>
        <w:ind w:left="420" w:leftChars="200"/>
        <w:rPr>
          <w:color w:val="000000"/>
          <w:sz w:val="24"/>
          <w:u w:val="single"/>
        </w:rPr>
      </w:pPr>
      <w:r>
        <w:rPr>
          <w:rFonts w:hint="eastAsia"/>
          <w:color w:val="000000"/>
          <w:sz w:val="24"/>
        </w:rPr>
        <w:t>三、合同价款</w:t>
      </w:r>
    </w:p>
    <w:p>
      <w:pPr>
        <w:pStyle w:val="519"/>
        <w:spacing w:line="380" w:lineRule="exact"/>
        <w:ind w:firstLine="490"/>
        <w:rPr>
          <w:rFonts w:ascii="宋体"/>
          <w:color w:val="000000"/>
          <w:sz w:val="24"/>
        </w:rPr>
      </w:pPr>
      <w:r>
        <w:rPr>
          <w:rFonts w:hint="eastAsia" w:ascii="宋体" w:hAnsi="宋体"/>
          <w:color w:val="000000"/>
          <w:sz w:val="24"/>
        </w:rPr>
        <w:t>金额（大写）：元（人民币）</w:t>
      </w:r>
    </w:p>
    <w:p>
      <w:pPr>
        <w:pStyle w:val="519"/>
        <w:spacing w:line="380" w:lineRule="exact"/>
        <w:ind w:left="1199" w:leftChars="571" w:firstLine="360" w:firstLineChars="150"/>
        <w:rPr>
          <w:rFonts w:ascii="宋体"/>
          <w:color w:val="000000"/>
          <w:sz w:val="24"/>
        </w:rPr>
      </w:pPr>
      <w:r>
        <w:rPr>
          <w:rFonts w:hint="eastAsia" w:ascii="宋体" w:hAnsi="宋体"/>
          <w:color w:val="000000"/>
          <w:sz w:val="24"/>
        </w:rPr>
        <w:t>￥：元（人民币）</w:t>
      </w:r>
    </w:p>
    <w:p>
      <w:pPr>
        <w:pStyle w:val="519"/>
        <w:spacing w:after="120" w:line="380" w:lineRule="exact"/>
        <w:ind w:left="420" w:leftChars="200"/>
        <w:rPr>
          <w:color w:val="000000"/>
          <w:sz w:val="24"/>
        </w:rPr>
      </w:pPr>
      <w:bookmarkStart w:id="85" w:name="_Toc351203486"/>
      <w:r>
        <w:rPr>
          <w:rFonts w:hint="eastAsia"/>
          <w:color w:val="000000"/>
          <w:sz w:val="24"/>
        </w:rPr>
        <w:t>四、合同文件构成</w:t>
      </w:r>
      <w:bookmarkEnd w:id="85"/>
    </w:p>
    <w:p>
      <w:pPr>
        <w:pStyle w:val="519"/>
        <w:autoSpaceDE w:val="0"/>
        <w:autoSpaceDN w:val="0"/>
        <w:adjustRightInd w:val="0"/>
        <w:spacing w:line="360" w:lineRule="auto"/>
        <w:ind w:firstLine="480" w:firstLineChars="200"/>
        <w:jc w:val="left"/>
        <w:rPr>
          <w:rFonts w:asci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）合同书及所附条款；（</w:t>
      </w:r>
      <w:r>
        <w:rPr>
          <w:rFonts w:ascii="宋体" w:hAnsi="宋体"/>
          <w:color w:val="000000"/>
          <w:sz w:val="24"/>
        </w:rPr>
        <w:t>2</w:t>
      </w:r>
      <w:r>
        <w:rPr>
          <w:rFonts w:hint="eastAsia" w:ascii="宋体" w:hAnsi="宋体"/>
          <w:color w:val="000000"/>
          <w:sz w:val="24"/>
        </w:rPr>
        <w:t>）中标通知书；（</w:t>
      </w:r>
      <w:r>
        <w:rPr>
          <w:rFonts w:ascii="宋体" w:hAnsi="宋体"/>
          <w:color w:val="000000"/>
          <w:sz w:val="24"/>
        </w:rPr>
        <w:t>3</w:t>
      </w:r>
      <w:r>
        <w:rPr>
          <w:rFonts w:hint="eastAsia" w:ascii="宋体" w:hAnsi="宋体"/>
          <w:color w:val="000000"/>
          <w:sz w:val="24"/>
        </w:rPr>
        <w:t>）供方中标的投标文件；（</w:t>
      </w:r>
      <w:r>
        <w:rPr>
          <w:rFonts w:ascii="宋体" w:hAnsi="宋体"/>
          <w:color w:val="000000"/>
          <w:sz w:val="24"/>
        </w:rPr>
        <w:t>4</w:t>
      </w:r>
      <w:r>
        <w:rPr>
          <w:rFonts w:hint="eastAsia" w:ascii="宋体" w:hAnsi="宋体"/>
          <w:color w:val="000000"/>
          <w:sz w:val="24"/>
        </w:rPr>
        <w:t>）招标文件；（</w:t>
      </w:r>
      <w:r>
        <w:rPr>
          <w:rFonts w:ascii="宋体" w:hAnsi="宋体"/>
          <w:color w:val="000000"/>
          <w:sz w:val="24"/>
        </w:rPr>
        <w:t>5</w:t>
      </w:r>
      <w:r>
        <w:rPr>
          <w:rFonts w:hint="eastAsia" w:ascii="宋体" w:hAnsi="宋体"/>
          <w:color w:val="000000"/>
          <w:sz w:val="24"/>
        </w:rPr>
        <w:t>）供方在投标过程中所作的其他有关承诺、声明、书面澄清等。在合同订立及履行过程中形成的与合同有关的文件均构成合同文件组成部分。</w:t>
      </w:r>
    </w:p>
    <w:p>
      <w:pPr>
        <w:pStyle w:val="519"/>
        <w:spacing w:line="380" w:lineRule="exact"/>
        <w:ind w:firstLine="490"/>
        <w:rPr>
          <w:rFonts w:ascii="宋体"/>
          <w:color w:val="000000"/>
          <w:sz w:val="24"/>
        </w:rPr>
      </w:pPr>
      <w:r>
        <w:rPr>
          <w:rFonts w:hint="eastAsia" w:ascii="宋体" w:hAnsi="宋体"/>
          <w:color w:val="000000"/>
          <w:sz w:val="24"/>
        </w:rPr>
        <w:t>上述各项合同文件包括合同当事人就该项合同文件所作出的补充和修改，属于同一类内容的文件，应以最新签署的为准。专用合同条款及其附件须经合同当事人签字或盖章。</w:t>
      </w:r>
    </w:p>
    <w:p>
      <w:pPr>
        <w:pStyle w:val="519"/>
        <w:spacing w:after="120"/>
        <w:ind w:left="420" w:leftChars="200"/>
        <w:rPr>
          <w:sz w:val="24"/>
        </w:rPr>
      </w:pPr>
      <w:bookmarkStart w:id="86" w:name="_Toc351203487"/>
      <w:r>
        <w:rPr>
          <w:rFonts w:hint="eastAsia"/>
          <w:sz w:val="24"/>
        </w:rPr>
        <w:t>五、承诺</w:t>
      </w:r>
      <w:bookmarkEnd w:id="86"/>
    </w:p>
    <w:p>
      <w:pPr>
        <w:pStyle w:val="519"/>
        <w:ind w:firstLine="480" w:firstLineChars="200"/>
        <w:rPr>
          <w:rFonts w:ascii="宋体"/>
          <w:bCs/>
          <w:color w:val="000000"/>
          <w:sz w:val="24"/>
        </w:rPr>
      </w:pPr>
      <w:r>
        <w:rPr>
          <w:rFonts w:ascii="宋体" w:hAnsi="宋体"/>
          <w:bCs/>
          <w:color w:val="000000"/>
          <w:sz w:val="24"/>
        </w:rPr>
        <w:t>2.</w:t>
      </w:r>
      <w:r>
        <w:rPr>
          <w:rFonts w:hint="eastAsia" w:ascii="宋体" w:hAnsi="宋体"/>
          <w:bCs/>
          <w:color w:val="000000"/>
          <w:sz w:val="24"/>
        </w:rPr>
        <w:t>承包人承诺按照法律规定及合同约定组织完成供货，确保货物质量和安全，并在质保期内承担相应的责任。</w:t>
      </w:r>
    </w:p>
    <w:p>
      <w:pPr>
        <w:pStyle w:val="519"/>
        <w:rPr>
          <w:sz w:val="24"/>
        </w:rPr>
      </w:pPr>
      <w:bookmarkStart w:id="87" w:name="_Toc351203491"/>
      <w:r>
        <w:rPr>
          <w:rFonts w:hint="eastAsia"/>
          <w:sz w:val="24"/>
        </w:rPr>
        <w:t>六、补充协议</w:t>
      </w:r>
      <w:bookmarkEnd w:id="87"/>
    </w:p>
    <w:p>
      <w:pPr>
        <w:pStyle w:val="519"/>
        <w:rPr>
          <w:rFonts w:ascii="宋体"/>
          <w:bCs/>
          <w:color w:val="000000"/>
          <w:sz w:val="24"/>
        </w:rPr>
      </w:pPr>
      <w:r>
        <w:rPr>
          <w:rFonts w:hint="eastAsia" w:ascii="宋体" w:hAnsi="宋体"/>
          <w:bCs/>
          <w:color w:val="000000"/>
          <w:sz w:val="24"/>
        </w:rPr>
        <w:t>合同未尽事宜，合同当事人另行签订补充协议，补充协议是合同的组成部分。</w:t>
      </w:r>
    </w:p>
    <w:p>
      <w:pPr>
        <w:pStyle w:val="519"/>
        <w:spacing w:after="120"/>
        <w:ind w:left="420" w:leftChars="200"/>
        <w:rPr>
          <w:sz w:val="24"/>
        </w:rPr>
      </w:pPr>
      <w:bookmarkStart w:id="88" w:name="_Toc351203492"/>
      <w:r>
        <w:rPr>
          <w:rFonts w:hint="eastAsia"/>
          <w:sz w:val="24"/>
        </w:rPr>
        <w:t>七、合同生效</w:t>
      </w:r>
      <w:bookmarkEnd w:id="88"/>
    </w:p>
    <w:p>
      <w:pPr>
        <w:pStyle w:val="519"/>
        <w:rPr>
          <w:rFonts w:ascii="宋体"/>
          <w:bCs/>
          <w:color w:val="000000"/>
          <w:sz w:val="24"/>
        </w:rPr>
      </w:pPr>
      <w:r>
        <w:rPr>
          <w:rFonts w:hint="eastAsia" w:ascii="宋体" w:hAnsi="宋体"/>
          <w:bCs/>
          <w:color w:val="000000"/>
          <w:sz w:val="24"/>
        </w:rPr>
        <w:t>本合同自双方签字盖章后生效。</w:t>
      </w:r>
    </w:p>
    <w:p>
      <w:pPr>
        <w:pStyle w:val="519"/>
        <w:spacing w:after="120"/>
        <w:ind w:left="420" w:leftChars="200"/>
        <w:rPr>
          <w:rFonts w:eastAsia="黑体"/>
          <w:b/>
          <w:color w:val="000000"/>
          <w:sz w:val="24"/>
        </w:rPr>
      </w:pPr>
      <w:bookmarkStart w:id="89" w:name="_Toc351203493"/>
      <w:r>
        <w:rPr>
          <w:rFonts w:hint="eastAsia"/>
          <w:sz w:val="24"/>
        </w:rPr>
        <w:t>八、合同份数</w:t>
      </w:r>
      <w:bookmarkEnd w:id="89"/>
    </w:p>
    <w:p>
      <w:pPr>
        <w:pStyle w:val="519"/>
        <w:rPr>
          <w:rFonts w:eastAsia="仿宋_GB2312"/>
          <w:bCs/>
          <w:color w:val="000000"/>
          <w:sz w:val="24"/>
        </w:rPr>
      </w:pPr>
      <w:r>
        <w:rPr>
          <w:rFonts w:hint="eastAsia" w:ascii="宋体" w:hAnsi="宋体"/>
          <w:bCs/>
          <w:color w:val="000000"/>
          <w:sz w:val="24"/>
        </w:rPr>
        <w:t>本合同一式陆份，均具有同等法律效力，发包人执肆份，承包人执贰份。</w:t>
      </w:r>
    </w:p>
    <w:p>
      <w:pPr>
        <w:pStyle w:val="519"/>
        <w:tabs>
          <w:tab w:val="left" w:pos="5000"/>
        </w:tabs>
        <w:spacing w:line="360" w:lineRule="auto"/>
        <w:ind w:firstLine="360" w:firstLineChars="150"/>
        <w:rPr>
          <w:rFonts w:ascii="宋体"/>
          <w:color w:val="000000"/>
          <w:sz w:val="24"/>
        </w:rPr>
      </w:pPr>
      <w:r>
        <w:rPr>
          <w:rFonts w:hint="eastAsia" w:ascii="宋体" w:hAnsi="宋体"/>
          <w:color w:val="000000"/>
          <w:sz w:val="24"/>
        </w:rPr>
        <w:t>发</w:t>
      </w:r>
      <w:r>
        <w:rPr>
          <w:rFonts w:ascii="宋体" w:hAnsi="宋体"/>
          <w:color w:val="000000"/>
          <w:sz w:val="24"/>
        </w:rPr>
        <w:t xml:space="preserve">    </w:t>
      </w:r>
      <w:r>
        <w:rPr>
          <w:rFonts w:hint="eastAsia" w:ascii="宋体" w:hAnsi="宋体"/>
          <w:color w:val="000000"/>
          <w:sz w:val="24"/>
        </w:rPr>
        <w:t>包</w:t>
      </w:r>
      <w:r>
        <w:rPr>
          <w:rFonts w:ascii="宋体" w:hAnsi="宋体"/>
          <w:color w:val="000000"/>
          <w:sz w:val="24"/>
        </w:rPr>
        <w:t xml:space="preserve">    </w:t>
      </w:r>
      <w:r>
        <w:rPr>
          <w:rFonts w:hint="eastAsia" w:ascii="宋体" w:hAnsi="宋体"/>
          <w:color w:val="000000"/>
          <w:sz w:val="24"/>
        </w:rPr>
        <w:t>人（公章）：</w:t>
      </w:r>
      <w:r>
        <w:rPr>
          <w:rFonts w:ascii="宋体"/>
          <w:color w:val="000000"/>
          <w:sz w:val="24"/>
        </w:rPr>
        <w:tab/>
      </w:r>
      <w:r>
        <w:rPr>
          <w:rFonts w:hint="eastAsia" w:ascii="宋体" w:hAnsi="宋体"/>
          <w:color w:val="000000"/>
          <w:sz w:val="24"/>
        </w:rPr>
        <w:t>承</w:t>
      </w:r>
      <w:r>
        <w:rPr>
          <w:rFonts w:ascii="宋体" w:hAnsi="宋体"/>
          <w:color w:val="000000"/>
          <w:sz w:val="24"/>
        </w:rPr>
        <w:t xml:space="preserve">    </w:t>
      </w:r>
      <w:r>
        <w:rPr>
          <w:rFonts w:hint="eastAsia" w:ascii="宋体" w:hAnsi="宋体"/>
          <w:color w:val="000000"/>
          <w:sz w:val="24"/>
        </w:rPr>
        <w:t>包</w:t>
      </w:r>
      <w:r>
        <w:rPr>
          <w:rFonts w:ascii="宋体" w:hAnsi="宋体"/>
          <w:color w:val="000000"/>
          <w:sz w:val="24"/>
        </w:rPr>
        <w:t xml:space="preserve">    </w:t>
      </w:r>
      <w:r>
        <w:rPr>
          <w:rFonts w:hint="eastAsia" w:ascii="宋体" w:hAnsi="宋体"/>
          <w:color w:val="000000"/>
          <w:sz w:val="24"/>
        </w:rPr>
        <w:t>人（公章）：</w:t>
      </w:r>
    </w:p>
    <w:p>
      <w:pPr>
        <w:pStyle w:val="519"/>
        <w:tabs>
          <w:tab w:val="left" w:pos="5000"/>
        </w:tabs>
        <w:spacing w:line="360" w:lineRule="auto"/>
        <w:ind w:left="420"/>
        <w:rPr>
          <w:rFonts w:ascii="宋体"/>
          <w:color w:val="000000"/>
          <w:sz w:val="24"/>
        </w:rPr>
      </w:pPr>
      <w:r>
        <w:rPr>
          <w:rFonts w:hint="eastAsia" w:ascii="宋体" w:hAnsi="宋体"/>
          <w:color w:val="000000"/>
          <w:sz w:val="24"/>
        </w:rPr>
        <w:t>法定代表人（签字）：</w:t>
      </w:r>
      <w:r>
        <w:rPr>
          <w:rFonts w:ascii="宋体"/>
          <w:color w:val="000000"/>
          <w:sz w:val="24"/>
        </w:rPr>
        <w:tab/>
      </w:r>
      <w:r>
        <w:rPr>
          <w:rFonts w:ascii="宋体"/>
          <w:color w:val="000000"/>
          <w:sz w:val="24"/>
        </w:rPr>
        <w:tab/>
      </w:r>
      <w:r>
        <w:rPr>
          <w:rFonts w:hint="eastAsia" w:ascii="宋体" w:hAnsi="宋体"/>
          <w:color w:val="000000"/>
          <w:sz w:val="24"/>
        </w:rPr>
        <w:t>法定代表人（签字）：</w:t>
      </w:r>
    </w:p>
    <w:p>
      <w:pPr>
        <w:pStyle w:val="519"/>
        <w:tabs>
          <w:tab w:val="left" w:pos="4700"/>
        </w:tabs>
        <w:spacing w:line="360" w:lineRule="auto"/>
        <w:ind w:firstLine="490"/>
      </w:pPr>
      <w:r>
        <w:rPr>
          <w:rFonts w:hint="eastAsia" w:ascii="宋体" w:hAnsi="宋体"/>
          <w:color w:val="000000"/>
          <w:sz w:val="24"/>
        </w:rPr>
        <w:t>年月日</w:t>
      </w:r>
      <w:r>
        <w:rPr>
          <w:rFonts w:ascii="宋体"/>
          <w:color w:val="000000"/>
          <w:sz w:val="24"/>
        </w:rPr>
        <w:tab/>
      </w:r>
      <w:r>
        <w:rPr>
          <w:rFonts w:hint="eastAsia" w:ascii="宋体" w:hAnsi="宋体"/>
          <w:color w:val="000000"/>
          <w:sz w:val="24"/>
        </w:rPr>
        <w:t>年月日</w:t>
      </w:r>
    </w:p>
    <w:p>
      <w:pPr>
        <w:pStyle w:val="519"/>
        <w:jc w:val="center"/>
        <w:rPr>
          <w:rFonts w:ascii="黑体" w:eastAsia="黑体"/>
          <w:sz w:val="28"/>
        </w:rPr>
      </w:pPr>
    </w:p>
    <w:p>
      <w:pPr>
        <w:pStyle w:val="519"/>
        <w:jc w:val="center"/>
        <w:rPr>
          <w:rFonts w:hint="eastAsia" w:ascii="黑体" w:eastAsia="黑体"/>
          <w:sz w:val="28"/>
        </w:rPr>
      </w:pPr>
    </w:p>
    <w:p>
      <w:pPr>
        <w:pStyle w:val="519"/>
        <w:jc w:val="center"/>
        <w:rPr>
          <w:rFonts w:ascii="黑体" w:eastAsia="黑体"/>
          <w:sz w:val="28"/>
        </w:rPr>
      </w:pPr>
      <w:r>
        <w:rPr>
          <w:rFonts w:hint="eastAsia" w:ascii="黑体" w:eastAsia="黑体"/>
          <w:sz w:val="28"/>
        </w:rPr>
        <w:t>合同主要条款</w:t>
      </w:r>
    </w:p>
    <w:p>
      <w:pPr>
        <w:pStyle w:val="519"/>
        <w:spacing w:line="380" w:lineRule="exact"/>
        <w:ind w:firstLine="490"/>
        <w:rPr>
          <w:rFonts w:ascii="宋体"/>
          <w:sz w:val="24"/>
        </w:rPr>
      </w:pPr>
      <w:r>
        <w:rPr>
          <w:rFonts w:hint="eastAsia" w:ascii="宋体" w:hAnsi="宋体"/>
          <w:sz w:val="24"/>
        </w:rPr>
        <w:t>根据招标文件和本项目的中标通知书，发承包双方就此次中标的设备和相关问题，同意按下列条款规定执行。</w:t>
      </w:r>
    </w:p>
    <w:p>
      <w:pPr>
        <w:pStyle w:val="519"/>
        <w:spacing w:line="380" w:lineRule="exact"/>
        <w:ind w:firstLine="490"/>
        <w:rPr>
          <w:rFonts w:ascii="宋体"/>
          <w:color w:val="000000"/>
          <w:sz w:val="24"/>
          <w:u w:val="single"/>
        </w:rPr>
      </w:pPr>
      <w:r>
        <w:rPr>
          <w:rFonts w:hint="eastAsia" w:ascii="宋体" w:hAnsi="宋体"/>
          <w:sz w:val="24"/>
        </w:rPr>
        <w:t>一、合同</w:t>
      </w:r>
      <w:r>
        <w:rPr>
          <w:rFonts w:hint="eastAsia" w:ascii="宋体" w:hAnsi="宋体"/>
          <w:color w:val="000000"/>
          <w:sz w:val="24"/>
        </w:rPr>
        <w:t>内容：生产、</w:t>
      </w:r>
      <w:r>
        <w:rPr>
          <w:rFonts w:hint="eastAsia" w:ascii="??" w:hAnsi="??" w:cs="宋体"/>
          <w:color w:val="000000"/>
          <w:kern w:val="0"/>
          <w:sz w:val="24"/>
        </w:rPr>
        <w:t>运输、指导安装、调试及售后服务。</w:t>
      </w:r>
    </w:p>
    <w:p>
      <w:pPr>
        <w:pStyle w:val="519"/>
        <w:spacing w:line="380" w:lineRule="exact"/>
        <w:ind w:firstLine="490"/>
        <w:rPr>
          <w:rFonts w:ascii="宋体"/>
          <w:color w:val="000000"/>
          <w:sz w:val="24"/>
        </w:rPr>
      </w:pPr>
      <w:r>
        <w:rPr>
          <w:rFonts w:hint="eastAsia" w:ascii="宋体" w:hAnsi="宋体"/>
          <w:color w:val="000000"/>
          <w:sz w:val="24"/>
        </w:rPr>
        <w:t>二、价格及支付：</w:t>
      </w:r>
    </w:p>
    <w:p>
      <w:pPr>
        <w:pStyle w:val="519"/>
        <w:spacing w:line="380" w:lineRule="exact"/>
        <w:ind w:firstLine="490"/>
        <w:rPr>
          <w:rFonts w:ascii="宋体"/>
          <w:color w:val="000000"/>
          <w:sz w:val="24"/>
        </w:rPr>
      </w:pPr>
      <w:r>
        <w:rPr>
          <w:rFonts w:ascii="宋体" w:hAnsi="宋体"/>
          <w:color w:val="000000"/>
          <w:sz w:val="24"/>
        </w:rPr>
        <w:t>1</w:t>
      </w:r>
      <w:r>
        <w:rPr>
          <w:rFonts w:hint="eastAsia" w:ascii="宋体" w:hAnsi="宋体"/>
          <w:color w:val="000000"/>
          <w:sz w:val="24"/>
        </w:rPr>
        <w:t>．按此次中标价格执行，合同金额为元。</w:t>
      </w:r>
    </w:p>
    <w:p>
      <w:pPr>
        <w:pStyle w:val="519"/>
        <w:spacing w:line="380" w:lineRule="exact"/>
        <w:ind w:firstLine="490"/>
        <w:rPr>
          <w:rFonts w:ascii="宋体"/>
          <w:color w:val="000000"/>
          <w:sz w:val="24"/>
        </w:rPr>
      </w:pPr>
      <w:r>
        <w:rPr>
          <w:rFonts w:ascii="宋体" w:hAnsi="宋体"/>
          <w:color w:val="000000"/>
          <w:sz w:val="24"/>
        </w:rPr>
        <w:t>2</w:t>
      </w:r>
      <w:r>
        <w:rPr>
          <w:rFonts w:hint="eastAsia" w:ascii="宋体" w:hAnsi="宋体"/>
          <w:color w:val="000000"/>
          <w:sz w:val="24"/>
        </w:rPr>
        <w:t>、本合同为固定总价合同，投标总价</w:t>
      </w:r>
      <w:r>
        <w:rPr>
          <w:rFonts w:hint="eastAsia" w:ascii="??" w:hAnsi="??" w:cs="宋体"/>
          <w:color w:val="000000"/>
          <w:kern w:val="0"/>
          <w:sz w:val="24"/>
          <w:u w:val="single"/>
        </w:rPr>
        <w:t>已全部考虑了包括所有货物、附件、指导安装、调试、人力、机械、运输、仓储、各种税费(因国家政策性税费调整的，中标价也作相应调整)、劳保、专利技术、质保、政策性文件规定及合同包含的所有风险、责任等各项所有费用。</w:t>
      </w:r>
    </w:p>
    <w:p>
      <w:pPr>
        <w:pStyle w:val="519"/>
        <w:spacing w:line="380" w:lineRule="exact"/>
        <w:ind w:firstLine="490"/>
        <w:rPr>
          <w:rFonts w:hint="eastAsia" w:ascii="宋体" w:hAnsi="宋体"/>
          <w:color w:val="000000"/>
          <w:sz w:val="24"/>
        </w:rPr>
      </w:pPr>
      <w:r>
        <w:rPr>
          <w:rFonts w:ascii="宋体" w:hAnsi="宋体"/>
          <w:color w:val="000000"/>
          <w:sz w:val="24"/>
        </w:rPr>
        <w:t>3</w:t>
      </w:r>
      <w:r>
        <w:rPr>
          <w:rFonts w:hint="eastAsia" w:ascii="宋体" w:hAnsi="宋体"/>
          <w:color w:val="000000"/>
          <w:sz w:val="24"/>
        </w:rPr>
        <w:t>．付款步骤：</w:t>
      </w:r>
    </w:p>
    <w:p>
      <w:pPr>
        <w:spacing w:line="500" w:lineRule="exact"/>
        <w:rPr>
          <w:rFonts w:hint="eastAsia" w:ascii="宋体" w:hAnsi="宋体"/>
          <w:color w:val="000000"/>
          <w:sz w:val="24"/>
        </w:rPr>
      </w:pPr>
      <w:r>
        <w:rPr>
          <w:rFonts w:hint="eastAsia" w:ascii="宋体" w:hAnsi="宋体"/>
          <w:color w:val="000000"/>
          <w:sz w:val="24"/>
        </w:rPr>
        <w:t>（1）设备送抵需方指定的施工现场或设备仓库，安装调试到位验收合格后，供方开具所供货物的全额增值税专用发票，需方在30天内支付发票金额的90%货款；</w:t>
      </w:r>
    </w:p>
    <w:p>
      <w:pPr>
        <w:spacing w:line="500" w:lineRule="exact"/>
        <w:rPr>
          <w:rFonts w:hint="eastAsia" w:ascii="宋体" w:hAnsi="宋体"/>
          <w:color w:val="000000"/>
          <w:sz w:val="24"/>
        </w:rPr>
      </w:pPr>
      <w:r>
        <w:rPr>
          <w:rFonts w:hint="eastAsia" w:ascii="宋体" w:hAnsi="宋体"/>
          <w:color w:val="000000"/>
          <w:sz w:val="24"/>
        </w:rPr>
        <w:t>（2）质保期满，</w:t>
      </w:r>
      <w:r>
        <w:rPr>
          <w:rFonts w:hint="eastAsia" w:ascii="宋体" w:hAnsi="宋体" w:cs="宋体"/>
          <w:kern w:val="0"/>
          <w:sz w:val="24"/>
        </w:rPr>
        <w:t>设备正常运行验收合格，并完成所供货物的审核后</w:t>
      </w:r>
      <w:r>
        <w:rPr>
          <w:rFonts w:hint="eastAsia" w:ascii="宋体" w:hAnsi="宋体"/>
          <w:color w:val="000000"/>
          <w:sz w:val="24"/>
        </w:rPr>
        <w:t>30天内支付所供货物发票金额的10%.</w:t>
      </w:r>
      <w:r>
        <w:rPr>
          <w:rFonts w:hint="eastAsia" w:ascii="宋体" w:hAnsi="宋体" w:cs="宋体"/>
          <w:sz w:val="24"/>
        </w:rPr>
        <w:t>（由于结算等流程设计问题，特殊情况结算会滞后）</w:t>
      </w:r>
    </w:p>
    <w:p>
      <w:pPr>
        <w:pStyle w:val="519"/>
        <w:spacing w:line="380" w:lineRule="exact"/>
        <w:ind w:firstLine="490"/>
        <w:rPr>
          <w:rFonts w:ascii="宋体"/>
          <w:sz w:val="24"/>
        </w:rPr>
      </w:pPr>
      <w:r>
        <w:rPr>
          <w:rFonts w:ascii="宋体" w:hAnsi="宋体"/>
          <w:sz w:val="24"/>
        </w:rPr>
        <w:t>4</w:t>
      </w:r>
      <w:r>
        <w:rPr>
          <w:rFonts w:hint="eastAsia" w:ascii="宋体" w:hAnsi="宋体"/>
          <w:sz w:val="24"/>
        </w:rPr>
        <w:t>．付款方式：银行汇票或转帐支票。</w:t>
      </w:r>
    </w:p>
    <w:p>
      <w:pPr>
        <w:pStyle w:val="519"/>
        <w:spacing w:line="380" w:lineRule="exact"/>
        <w:ind w:firstLine="490"/>
        <w:rPr>
          <w:rFonts w:ascii="宋体"/>
          <w:sz w:val="24"/>
        </w:rPr>
      </w:pPr>
      <w:r>
        <w:rPr>
          <w:rFonts w:ascii="宋体" w:hAnsi="宋体"/>
          <w:sz w:val="24"/>
        </w:rPr>
        <w:t>5</w:t>
      </w:r>
      <w:r>
        <w:rPr>
          <w:rFonts w:hint="eastAsia" w:ascii="宋体" w:hAnsi="宋体"/>
          <w:sz w:val="24"/>
        </w:rPr>
        <w:t>、履约保证金的退还：履约保证金于货物安装完毕验收合格后的三十个工作日内无息退还。</w:t>
      </w:r>
    </w:p>
    <w:p>
      <w:pPr>
        <w:pStyle w:val="519"/>
        <w:spacing w:line="380" w:lineRule="exact"/>
        <w:ind w:firstLine="490"/>
        <w:rPr>
          <w:rFonts w:ascii="宋体"/>
          <w:b/>
          <w:sz w:val="24"/>
        </w:rPr>
      </w:pPr>
      <w:r>
        <w:rPr>
          <w:rFonts w:hint="eastAsia" w:ascii="宋体" w:hAnsi="宋体"/>
          <w:b/>
          <w:sz w:val="24"/>
        </w:rPr>
        <w:t>三、质量保证：</w:t>
      </w:r>
    </w:p>
    <w:p>
      <w:pPr>
        <w:pStyle w:val="519"/>
        <w:spacing w:line="380" w:lineRule="exact"/>
        <w:ind w:firstLine="490"/>
        <w:rPr>
          <w:rFonts w:ascii="宋体"/>
          <w:color w:val="FF0000"/>
          <w:sz w:val="24"/>
        </w:rPr>
      </w:pPr>
      <w:r>
        <w:rPr>
          <w:rFonts w:ascii="宋体" w:hAnsi="宋体"/>
          <w:sz w:val="24"/>
        </w:rPr>
        <w:t>1</w:t>
      </w:r>
      <w:r>
        <w:rPr>
          <w:rFonts w:hint="eastAsia" w:ascii="宋体" w:hAnsi="宋体"/>
          <w:sz w:val="24"/>
        </w:rPr>
        <w:t>、</w:t>
      </w:r>
      <w:r>
        <w:rPr>
          <w:rFonts w:hint="eastAsia" w:ascii="宋体" w:hAnsi="宋体"/>
          <w:color w:val="000000"/>
          <w:sz w:val="24"/>
        </w:rPr>
        <w:t>产品的质量、技术标准按国家有关约定、图纸设计要求、招标文件和投标文件，安装完成后需通过验收。</w:t>
      </w:r>
    </w:p>
    <w:p>
      <w:pPr>
        <w:pStyle w:val="519"/>
        <w:spacing w:line="380" w:lineRule="exact"/>
        <w:ind w:firstLine="490"/>
        <w:rPr>
          <w:rFonts w:ascii="宋体"/>
          <w:sz w:val="24"/>
        </w:rPr>
      </w:pPr>
      <w:r>
        <w:rPr>
          <w:rFonts w:ascii="宋体" w:hAnsi="宋体"/>
          <w:sz w:val="24"/>
        </w:rPr>
        <w:t>2</w:t>
      </w:r>
      <w:r>
        <w:rPr>
          <w:rFonts w:hint="eastAsia" w:ascii="宋体" w:hAnsi="宋体"/>
          <w:sz w:val="24"/>
        </w:rPr>
        <w:t>、乙方应按合同规定的设备性能、质量标准向甲方提供未经使用的符合质量要求的全新设备。</w:t>
      </w:r>
    </w:p>
    <w:p>
      <w:pPr>
        <w:pStyle w:val="519"/>
        <w:spacing w:line="380" w:lineRule="exact"/>
        <w:ind w:firstLine="490"/>
        <w:rPr>
          <w:b/>
          <w:sz w:val="24"/>
        </w:rPr>
      </w:pPr>
      <w:r>
        <w:rPr>
          <w:rFonts w:hint="eastAsia"/>
          <w:b/>
          <w:sz w:val="24"/>
        </w:rPr>
        <w:t>四、质量验收要求</w:t>
      </w:r>
    </w:p>
    <w:p>
      <w:pPr>
        <w:pStyle w:val="519"/>
        <w:spacing w:line="380" w:lineRule="exact"/>
        <w:ind w:firstLine="490"/>
        <w:rPr>
          <w:rFonts w:ascii="宋体"/>
          <w:sz w:val="24"/>
        </w:rPr>
      </w:pPr>
      <w:r>
        <w:rPr>
          <w:rFonts w:ascii="宋体" w:hAnsi="宋体"/>
          <w:sz w:val="24"/>
        </w:rPr>
        <w:t>1</w:t>
      </w:r>
      <w:r>
        <w:rPr>
          <w:rFonts w:hint="eastAsia" w:ascii="宋体" w:hAnsi="宋体"/>
          <w:sz w:val="24"/>
        </w:rPr>
        <w:t>、投标人一旦中标后，招标人将视情况至中标供应商生产厂家实地察看投标文件中提供的相关资质证书、销售业绩、检测报告及生产设备等情况，如发现实际情况与投标文件中不一致的，将取消其中标资格，报相关监管部门进行处理，并对其在相应网站上公示。</w:t>
      </w:r>
    </w:p>
    <w:p>
      <w:pPr>
        <w:pStyle w:val="519"/>
        <w:spacing w:line="380" w:lineRule="exact"/>
        <w:ind w:firstLine="490"/>
        <w:rPr>
          <w:rFonts w:ascii="宋体"/>
          <w:sz w:val="24"/>
        </w:rPr>
      </w:pPr>
      <w:r>
        <w:rPr>
          <w:rFonts w:ascii="宋体" w:hAnsi="宋体"/>
          <w:sz w:val="24"/>
        </w:rPr>
        <w:t>2</w:t>
      </w:r>
      <w:r>
        <w:rPr>
          <w:rFonts w:hint="eastAsia" w:ascii="宋体" w:hAnsi="宋体"/>
          <w:sz w:val="24"/>
        </w:rPr>
        <w:t>、供货前和供货过程中，招标人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招标人将终止合同，同时对供方处以扣除履约保证金的违约处罚，并报相应网站公示。</w:t>
      </w:r>
      <w:r>
        <w:rPr>
          <w:rFonts w:ascii="宋体" w:hAnsi="宋体"/>
          <w:sz w:val="24"/>
        </w:rPr>
        <w:t xml:space="preserve"> </w:t>
      </w:r>
    </w:p>
    <w:p>
      <w:pPr>
        <w:pStyle w:val="519"/>
        <w:spacing w:line="380" w:lineRule="exact"/>
        <w:rPr>
          <w:rFonts w:ascii="宋体"/>
          <w:color w:val="000000"/>
          <w:sz w:val="24"/>
        </w:rPr>
      </w:pPr>
      <w:r>
        <w:rPr>
          <w:rFonts w:ascii="宋体" w:hAnsi="宋体"/>
          <w:color w:val="000000"/>
          <w:sz w:val="24"/>
        </w:rPr>
        <w:t xml:space="preserve">    3</w:t>
      </w:r>
      <w:r>
        <w:rPr>
          <w:rFonts w:hint="eastAsia" w:ascii="宋体" w:hAnsi="宋体"/>
          <w:color w:val="000000"/>
          <w:sz w:val="24"/>
        </w:rPr>
        <w:t>、验收时间：</w:t>
      </w:r>
    </w:p>
    <w:p>
      <w:pPr>
        <w:pStyle w:val="347"/>
        <w:spacing w:line="380" w:lineRule="exact"/>
        <w:ind w:firstLine="490"/>
        <w:rPr>
          <w:rFonts w:ascii="宋体" w:eastAsia="宋体"/>
          <w:color w:val="000000"/>
          <w:kern w:val="2"/>
          <w:sz w:val="24"/>
        </w:rPr>
      </w:pPr>
      <w:r>
        <w:rPr>
          <w:rFonts w:hint="eastAsia" w:ascii="宋体" w:hAnsi="宋体"/>
          <w:color w:val="000000"/>
          <w:kern w:val="2"/>
          <w:sz w:val="24"/>
        </w:rPr>
        <w:t>货物到达招标人指定的现场后，供货方应按有关技术规程的规定堆放。所有货物必须提供产品合格证及保单，注明出厂日期。中标方和招标方工作人员双方同时在场情况下，招标方进行验收。验收合格后，双方签署验收单。</w:t>
      </w:r>
    </w:p>
    <w:p>
      <w:pPr>
        <w:pStyle w:val="519"/>
        <w:numPr>
          <w:ilvl w:val="0"/>
          <w:numId w:val="25"/>
        </w:numPr>
        <w:spacing w:line="380" w:lineRule="exact"/>
        <w:ind w:firstLine="490"/>
        <w:rPr>
          <w:rFonts w:ascii="宋体"/>
          <w:color w:val="000000"/>
          <w:sz w:val="24"/>
        </w:rPr>
      </w:pPr>
      <w:r>
        <w:rPr>
          <w:rFonts w:hint="eastAsia" w:ascii="宋体" w:hAnsi="宋体"/>
          <w:color w:val="000000"/>
          <w:sz w:val="24"/>
        </w:rPr>
        <w:t>验收标准：</w:t>
      </w:r>
    </w:p>
    <w:p>
      <w:pPr>
        <w:pStyle w:val="519"/>
        <w:rPr>
          <w:rFonts w:ascii="宋体" w:cs="宋体"/>
          <w:color w:val="000000"/>
          <w:kern w:val="0"/>
          <w:sz w:val="24"/>
        </w:rPr>
      </w:pPr>
      <w:r>
        <w:rPr>
          <w:rFonts w:hint="eastAsia" w:ascii="宋体" w:hAnsi="宋体" w:cs="宋体"/>
          <w:color w:val="000000"/>
          <w:kern w:val="0"/>
          <w:sz w:val="24"/>
        </w:rPr>
        <w:t>符合国家现行有关标准、相关行业规范及招标人要求，由用户单位负责验收。货物送达现场后需方组织相关人员对货物进行到货验收。</w:t>
      </w:r>
    </w:p>
    <w:p>
      <w:pPr>
        <w:pStyle w:val="519"/>
        <w:numPr>
          <w:ilvl w:val="0"/>
          <w:numId w:val="26"/>
        </w:numPr>
        <w:spacing w:line="380" w:lineRule="exact"/>
        <w:ind w:firstLine="490"/>
        <w:rPr>
          <w:b/>
          <w:color w:val="000000"/>
          <w:sz w:val="24"/>
        </w:rPr>
      </w:pPr>
      <w:r>
        <w:rPr>
          <w:rFonts w:hint="eastAsia"/>
          <w:b/>
          <w:color w:val="000000"/>
          <w:sz w:val="24"/>
        </w:rPr>
        <w:t>供货要求：</w:t>
      </w:r>
    </w:p>
    <w:p>
      <w:pPr>
        <w:pStyle w:val="519"/>
        <w:spacing w:line="380" w:lineRule="exact"/>
        <w:ind w:firstLine="490"/>
        <w:rPr>
          <w:rFonts w:hint="eastAsia" w:ascii="宋体" w:hAnsi="宋体" w:cs="宋体"/>
          <w:color w:val="000000"/>
          <w:kern w:val="0"/>
          <w:sz w:val="24"/>
        </w:rPr>
      </w:pPr>
      <w:r>
        <w:rPr>
          <w:rFonts w:hint="eastAsia" w:ascii="宋体" w:hAnsi="宋体" w:cs="宋体"/>
          <w:color w:val="000000"/>
          <w:kern w:val="0"/>
          <w:sz w:val="24"/>
          <w:highlight w:val="yellow"/>
        </w:rPr>
        <w:t>本次招标的设备接到发货通知之日起30日内必须把货物送达需方指定的供货现场。到货时间以施工单位、监理及现场负责人共同签收时间为准。</w:t>
      </w:r>
    </w:p>
    <w:p>
      <w:pPr>
        <w:pStyle w:val="519"/>
        <w:spacing w:line="380" w:lineRule="exact"/>
        <w:ind w:firstLine="490"/>
        <w:rPr>
          <w:b/>
          <w:sz w:val="24"/>
        </w:rPr>
      </w:pPr>
      <w:r>
        <w:rPr>
          <w:rFonts w:hint="eastAsia"/>
          <w:b/>
          <w:sz w:val="24"/>
        </w:rPr>
        <w:t>六、交货条件：</w:t>
      </w:r>
    </w:p>
    <w:p>
      <w:pPr>
        <w:pStyle w:val="519"/>
        <w:spacing w:line="380" w:lineRule="exact"/>
        <w:ind w:firstLine="490"/>
        <w:rPr>
          <w:rFonts w:ascii="宋体"/>
          <w:sz w:val="24"/>
        </w:rPr>
      </w:pPr>
      <w:r>
        <w:rPr>
          <w:rFonts w:ascii="宋体" w:hAnsi="宋体"/>
          <w:sz w:val="24"/>
        </w:rPr>
        <w:t>1</w:t>
      </w:r>
      <w:r>
        <w:rPr>
          <w:rFonts w:hint="eastAsia" w:ascii="宋体" w:hAnsi="宋体"/>
          <w:sz w:val="24"/>
        </w:rPr>
        <w:t>、交货地点：宜兴市内发包人指定的地点</w:t>
      </w:r>
    </w:p>
    <w:p>
      <w:pPr>
        <w:pStyle w:val="519"/>
        <w:tabs>
          <w:tab w:val="left" w:pos="993"/>
        </w:tabs>
        <w:spacing w:line="380" w:lineRule="exact"/>
        <w:ind w:firstLine="490"/>
        <w:rPr>
          <w:rFonts w:ascii="宋体"/>
          <w:sz w:val="24"/>
        </w:rPr>
      </w:pPr>
      <w:r>
        <w:rPr>
          <w:rFonts w:ascii="宋体" w:hAnsi="宋体"/>
          <w:sz w:val="24"/>
        </w:rPr>
        <w:t>2</w:t>
      </w:r>
      <w:r>
        <w:rPr>
          <w:rFonts w:hint="eastAsia" w:ascii="宋体" w:hAnsi="宋体"/>
          <w:sz w:val="24"/>
        </w:rPr>
        <w:t>、设备的外观、包装、运输应按国家规定或部颁标准执行。如因承包人运输不当等原因造成损坏或丢失，应由承包人负责修复或补缺。</w:t>
      </w:r>
    </w:p>
    <w:p>
      <w:pPr>
        <w:pStyle w:val="519"/>
        <w:spacing w:line="380" w:lineRule="exact"/>
        <w:ind w:firstLine="490"/>
        <w:rPr>
          <w:rFonts w:ascii="宋体"/>
          <w:sz w:val="24"/>
        </w:rPr>
      </w:pPr>
      <w:r>
        <w:rPr>
          <w:rFonts w:ascii="宋体" w:hAnsi="宋体"/>
          <w:sz w:val="24"/>
        </w:rPr>
        <w:t>3</w:t>
      </w:r>
      <w:r>
        <w:rPr>
          <w:rFonts w:hint="eastAsia" w:ascii="宋体" w:hAnsi="宋体"/>
          <w:sz w:val="24"/>
        </w:rPr>
        <w:t>、设备交货时，必须带有产品质量检验合格证书、质保单、装箱单、产品安装使用说明书，并保持出厂原有包装。</w:t>
      </w:r>
    </w:p>
    <w:p>
      <w:pPr>
        <w:pStyle w:val="519"/>
        <w:spacing w:line="380" w:lineRule="exact"/>
        <w:ind w:firstLine="490"/>
        <w:rPr>
          <w:rFonts w:ascii="宋体"/>
          <w:sz w:val="24"/>
        </w:rPr>
      </w:pPr>
      <w:r>
        <w:rPr>
          <w:rFonts w:ascii="宋体" w:hAnsi="宋体"/>
          <w:sz w:val="24"/>
        </w:rPr>
        <w:t>4</w:t>
      </w:r>
      <w:r>
        <w:rPr>
          <w:rFonts w:hint="eastAsia" w:ascii="宋体" w:hAnsi="宋体"/>
          <w:sz w:val="24"/>
        </w:rPr>
        <w:t>、运输及到货地点：由承包方负责办理运输，并承担费用直接送到发包方指定地点。</w:t>
      </w:r>
    </w:p>
    <w:p>
      <w:pPr>
        <w:pStyle w:val="519"/>
        <w:spacing w:line="380" w:lineRule="exact"/>
        <w:ind w:firstLine="490"/>
        <w:rPr>
          <w:rFonts w:ascii="宋体"/>
          <w:sz w:val="24"/>
        </w:rPr>
      </w:pPr>
      <w:r>
        <w:rPr>
          <w:rFonts w:ascii="宋体" w:hAnsi="宋体"/>
          <w:sz w:val="24"/>
        </w:rPr>
        <w:t>5</w:t>
      </w:r>
      <w:r>
        <w:rPr>
          <w:rFonts w:hint="eastAsia" w:ascii="宋体" w:hAnsi="宋体"/>
          <w:sz w:val="24"/>
        </w:rPr>
        <w:t>、承包方发货应提前一天用传真和电话通知发包人。</w:t>
      </w:r>
    </w:p>
    <w:p>
      <w:pPr>
        <w:pStyle w:val="519"/>
        <w:spacing w:line="380" w:lineRule="exact"/>
        <w:ind w:firstLine="490"/>
        <w:rPr>
          <w:b/>
          <w:sz w:val="24"/>
        </w:rPr>
      </w:pPr>
      <w:r>
        <w:rPr>
          <w:rFonts w:hint="eastAsia"/>
          <w:b/>
          <w:sz w:val="24"/>
        </w:rPr>
        <w:t>七、安装调试及售后服务：</w:t>
      </w:r>
    </w:p>
    <w:p>
      <w:pPr>
        <w:pStyle w:val="519"/>
        <w:widowControl/>
        <w:jc w:val="left"/>
        <w:rPr>
          <w:rFonts w:ascii="宋体" w:cs="宋体"/>
          <w:kern w:val="0"/>
          <w:sz w:val="24"/>
        </w:rPr>
      </w:pPr>
      <w:r>
        <w:rPr>
          <w:rFonts w:ascii="宋体" w:hAnsi="宋体" w:cs="宋体"/>
          <w:kern w:val="0"/>
          <w:sz w:val="24"/>
        </w:rPr>
        <w:t>1</w:t>
      </w:r>
      <w:r>
        <w:rPr>
          <w:rFonts w:hint="eastAsia" w:ascii="宋体" w:hAnsi="宋体" w:cs="宋体"/>
          <w:kern w:val="0"/>
          <w:sz w:val="24"/>
        </w:rPr>
        <w:t>、承包人负责本次设备的指导安装和调试。在规定保修期内，如出现质量问题，承包人收到发包人函、电话通知后应在</w:t>
      </w:r>
      <w:r>
        <w:rPr>
          <w:rFonts w:ascii="宋体" w:hAnsi="宋体" w:cs="宋体"/>
          <w:kern w:val="0"/>
          <w:sz w:val="24"/>
        </w:rPr>
        <w:t>4</w:t>
      </w:r>
      <w:r>
        <w:rPr>
          <w:rFonts w:hint="eastAsia" w:ascii="宋体" w:hAnsi="宋体" w:cs="宋体"/>
          <w:kern w:val="0"/>
          <w:sz w:val="24"/>
        </w:rPr>
        <w:t>小时内响应并解决问题。</w:t>
      </w:r>
      <w:r>
        <w:rPr>
          <w:rFonts w:ascii="宋体" w:cs="宋体"/>
          <w:kern w:val="0"/>
          <w:sz w:val="24"/>
        </w:rPr>
        <w:br w:type="textWrapping"/>
      </w:r>
      <w:r>
        <w:rPr>
          <w:rFonts w:ascii="宋体" w:hAnsi="宋体" w:cs="宋体"/>
          <w:kern w:val="0"/>
          <w:sz w:val="24"/>
        </w:rPr>
        <w:t>2</w:t>
      </w:r>
      <w:r>
        <w:rPr>
          <w:rFonts w:hint="eastAsia" w:ascii="宋体" w:hAnsi="宋体" w:cs="宋体"/>
          <w:kern w:val="0"/>
          <w:sz w:val="24"/>
        </w:rPr>
        <w:t>、发包人应向承包人现场调试技术人员及维修人员提供方便条件，有关费用由承包人负责。</w:t>
      </w:r>
      <w:r>
        <w:rPr>
          <w:rFonts w:ascii="宋体" w:cs="宋体"/>
          <w:kern w:val="0"/>
          <w:sz w:val="24"/>
        </w:rPr>
        <w:br w:type="textWrapping"/>
      </w:r>
      <w:r>
        <w:rPr>
          <w:rFonts w:ascii="宋体" w:hAnsi="宋体" w:cs="宋体"/>
          <w:kern w:val="0"/>
          <w:sz w:val="24"/>
        </w:rPr>
        <w:t>3</w:t>
      </w:r>
      <w:r>
        <w:rPr>
          <w:rFonts w:hint="eastAsia" w:ascii="宋体" w:hAnsi="宋体" w:cs="宋体"/>
          <w:kern w:val="0"/>
          <w:sz w:val="24"/>
        </w:rPr>
        <w:t>、发包人如邀请承包人提供非质量问题的其它技术服务，其费用另定。</w:t>
      </w:r>
      <w:r>
        <w:rPr>
          <w:rFonts w:ascii="宋体" w:cs="宋体"/>
          <w:kern w:val="0"/>
          <w:sz w:val="24"/>
        </w:rPr>
        <w:br w:type="textWrapping"/>
      </w:r>
      <w:r>
        <w:rPr>
          <w:rFonts w:ascii="宋体" w:hAnsi="宋体" w:cs="宋体"/>
          <w:kern w:val="0"/>
          <w:sz w:val="24"/>
        </w:rPr>
        <w:t>4</w:t>
      </w:r>
      <w:r>
        <w:rPr>
          <w:rFonts w:hint="eastAsia" w:ascii="宋体" w:hAnsi="宋体" w:cs="宋体"/>
          <w:kern w:val="0"/>
          <w:sz w:val="24"/>
        </w:rPr>
        <w:t>、承包人对其供应的设备提供的质保按国家有关规定执行。</w:t>
      </w:r>
      <w:r>
        <w:rPr>
          <w:rFonts w:ascii="宋体" w:cs="宋体"/>
          <w:kern w:val="0"/>
          <w:sz w:val="24"/>
        </w:rPr>
        <w:br w:type="textWrapping"/>
      </w:r>
      <w:r>
        <w:rPr>
          <w:rFonts w:ascii="宋体" w:hAnsi="宋体" w:cs="宋体"/>
          <w:kern w:val="0"/>
          <w:sz w:val="24"/>
        </w:rPr>
        <w:t>5</w:t>
      </w:r>
      <w:r>
        <w:rPr>
          <w:rFonts w:hint="eastAsia" w:ascii="宋体" w:hAnsi="宋体" w:cs="宋体"/>
          <w:kern w:val="0"/>
          <w:sz w:val="24"/>
        </w:rPr>
        <w:t>、本次招标的设备应提供不低于</w:t>
      </w:r>
      <w:r>
        <w:rPr>
          <w:rFonts w:ascii="宋体" w:hAnsi="宋体" w:cs="宋体"/>
          <w:kern w:val="0"/>
          <w:sz w:val="24"/>
        </w:rPr>
        <w:t>2</w:t>
      </w:r>
      <w:r>
        <w:rPr>
          <w:rFonts w:hint="eastAsia" w:ascii="宋体" w:hAnsi="宋体" w:cs="宋体"/>
          <w:kern w:val="0"/>
          <w:sz w:val="24"/>
        </w:rPr>
        <w:t>年的免费质保，免费质保期限一律从设备安装调试验收合格之日起算。</w:t>
      </w:r>
      <w:r>
        <w:rPr>
          <w:rFonts w:ascii="宋体" w:cs="宋体"/>
          <w:kern w:val="0"/>
          <w:sz w:val="24"/>
        </w:rPr>
        <w:br w:type="textWrapping"/>
      </w:r>
      <w:r>
        <w:rPr>
          <w:rFonts w:hint="eastAsia" w:ascii="宋体" w:hAnsi="宋体" w:cs="宋体"/>
          <w:kern w:val="0"/>
          <w:sz w:val="24"/>
        </w:rPr>
        <w:t>①在免费质保期内，提供免除一切费用的售后服务。</w:t>
      </w:r>
      <w:r>
        <w:rPr>
          <w:rFonts w:ascii="宋体" w:cs="宋体"/>
          <w:kern w:val="0"/>
          <w:sz w:val="24"/>
        </w:rPr>
        <w:br w:type="textWrapping"/>
      </w:r>
      <w:r>
        <w:rPr>
          <w:rFonts w:hint="eastAsia" w:ascii="宋体" w:hAnsi="宋体" w:cs="宋体"/>
          <w:kern w:val="0"/>
          <w:sz w:val="24"/>
        </w:rPr>
        <w:t>②对于在免费质保期内出现故障确需更换的零配件，供应商必须确保采购单位能更换到原厂同种规格型号的零部件，以确保其正常使用；如因生产厂家停产等客观原因，不能提供同种规格型号的零配件时，应提供同等质量、档次的配件，且不补差价。</w:t>
      </w:r>
    </w:p>
    <w:p>
      <w:pPr>
        <w:pStyle w:val="519"/>
        <w:spacing w:line="380" w:lineRule="exact"/>
        <w:ind w:firstLine="490"/>
        <w:rPr>
          <w:rFonts w:ascii="宋体"/>
          <w:color w:val="000000"/>
          <w:sz w:val="24"/>
        </w:rPr>
      </w:pPr>
      <w:r>
        <w:rPr>
          <w:rFonts w:hint="eastAsia" w:ascii="宋体" w:hAnsi="宋体"/>
          <w:color w:val="000000"/>
          <w:sz w:val="24"/>
        </w:rPr>
        <w:t>八、违约责任：</w:t>
      </w:r>
    </w:p>
    <w:p>
      <w:pPr>
        <w:pStyle w:val="518"/>
        <w:spacing w:line="380" w:lineRule="exact"/>
        <w:ind w:firstLine="490"/>
        <w:rPr>
          <w:rFonts w:ascii="??" w:hAnsi="??" w:cs="宋体"/>
          <w:color w:val="0000FF"/>
          <w:kern w:val="0"/>
          <w:sz w:val="24"/>
          <w:u w:val="single"/>
        </w:rPr>
      </w:pPr>
      <w:r>
        <w:rPr>
          <w:rFonts w:hint="eastAsia" w:ascii="??" w:hAnsi="??" w:cs="宋体"/>
          <w:color w:val="0000FF"/>
          <w:kern w:val="0"/>
          <w:sz w:val="24"/>
          <w:u w:val="single"/>
        </w:rPr>
        <w:t>如供方逾期交货，除不可抗力外，供方应向需方就逾期交货部分支付违约金，每逾期供货一天，须扣</w:t>
      </w:r>
      <w:r>
        <w:rPr>
          <w:rFonts w:hint="eastAsia" w:ascii="??" w:hAnsi="??" w:cs="宋体"/>
          <w:color w:val="0000FF"/>
          <w:kern w:val="0"/>
          <w:sz w:val="24"/>
          <w:highlight w:val="yellow"/>
          <w:u w:val="single"/>
        </w:rPr>
        <w:t>200元</w:t>
      </w:r>
      <w:r>
        <w:rPr>
          <w:rFonts w:ascii="??" w:hAnsi="??" w:cs="宋体"/>
          <w:color w:val="0000FF"/>
          <w:kern w:val="0"/>
          <w:sz w:val="24"/>
          <w:u w:val="single"/>
        </w:rPr>
        <w:t>/</w:t>
      </w:r>
      <w:r>
        <w:rPr>
          <w:rFonts w:hint="eastAsia" w:ascii="??" w:hAnsi="??" w:cs="宋体"/>
          <w:color w:val="0000FF"/>
          <w:kern w:val="0"/>
          <w:sz w:val="24"/>
          <w:u w:val="single"/>
        </w:rPr>
        <w:t>台的违约金。</w:t>
      </w:r>
    </w:p>
    <w:p>
      <w:pPr>
        <w:pStyle w:val="518"/>
        <w:spacing w:line="380" w:lineRule="exact"/>
        <w:ind w:firstLine="490"/>
        <w:rPr>
          <w:rFonts w:ascii="??" w:hAnsi="??" w:cs="宋体"/>
          <w:color w:val="0000FF"/>
          <w:kern w:val="0"/>
          <w:sz w:val="24"/>
          <w:u w:val="single"/>
        </w:rPr>
      </w:pPr>
      <w:r>
        <w:rPr>
          <w:rFonts w:hint="eastAsia" w:ascii="??" w:hAnsi="??" w:cs="宋体"/>
          <w:color w:val="0000FF"/>
          <w:kern w:val="0"/>
          <w:sz w:val="24"/>
          <w:u w:val="single"/>
        </w:rPr>
        <w:t>供方逾期交货超过</w:t>
      </w:r>
      <w:r>
        <w:rPr>
          <w:rFonts w:ascii="??" w:hAnsi="??" w:cs="宋体"/>
          <w:color w:val="0000FF"/>
          <w:kern w:val="0"/>
          <w:sz w:val="24"/>
          <w:u w:val="single"/>
        </w:rPr>
        <w:t>15</w:t>
      </w:r>
      <w:r>
        <w:rPr>
          <w:rFonts w:hint="eastAsia" w:ascii="??" w:hAnsi="??" w:cs="宋体"/>
          <w:color w:val="0000FF"/>
          <w:kern w:val="0"/>
          <w:sz w:val="24"/>
          <w:u w:val="single"/>
        </w:rPr>
        <w:t>天的视为供方不履行合同，需方将解除合同，并扣除相应违约金及履约保证金，如给需方造成损失的，还应赔偿相应损失。</w:t>
      </w:r>
    </w:p>
    <w:p>
      <w:pPr>
        <w:pStyle w:val="518"/>
        <w:spacing w:line="380" w:lineRule="exact"/>
        <w:ind w:firstLine="490"/>
        <w:rPr>
          <w:rFonts w:ascii="??" w:hAnsi="??" w:cs="宋体"/>
          <w:color w:val="0000FF"/>
          <w:kern w:val="0"/>
          <w:sz w:val="24"/>
          <w:u w:val="single"/>
        </w:rPr>
      </w:pPr>
      <w:r>
        <w:rPr>
          <w:rFonts w:hint="eastAsia" w:ascii="??" w:hAnsi="??" w:cs="宋体"/>
          <w:color w:val="0000FF"/>
          <w:kern w:val="0"/>
          <w:sz w:val="24"/>
          <w:u w:val="single"/>
        </w:rPr>
        <w:t>如中标供应商不按照采购人要求将合同货物送达采购人指定地点的，每次支付违约金为逾期交货部分总价款的千分之八。情节严重的按违约处理，采购人将终止合同，同时对供方以扣除履约保证金的违约处罚，并报相关网站公示。</w:t>
      </w:r>
    </w:p>
    <w:p>
      <w:pPr>
        <w:pStyle w:val="519"/>
        <w:spacing w:line="380" w:lineRule="exact"/>
        <w:ind w:firstLine="490"/>
        <w:rPr>
          <w:rFonts w:ascii="宋体"/>
          <w:color w:val="000000"/>
          <w:sz w:val="24"/>
        </w:rPr>
      </w:pPr>
      <w:r>
        <w:rPr>
          <w:rFonts w:hint="eastAsia" w:ascii="宋体" w:hAnsi="宋体"/>
          <w:color w:val="000000"/>
          <w:sz w:val="24"/>
        </w:rPr>
        <w:t>九、合同生效及其它：</w:t>
      </w:r>
    </w:p>
    <w:p>
      <w:pPr>
        <w:pStyle w:val="519"/>
        <w:spacing w:line="380" w:lineRule="exact"/>
        <w:ind w:firstLine="490"/>
        <w:rPr>
          <w:rFonts w:ascii="宋体"/>
          <w:color w:val="000000"/>
          <w:sz w:val="24"/>
        </w:rPr>
      </w:pPr>
      <w:r>
        <w:rPr>
          <w:rFonts w:ascii="宋体" w:hAnsi="宋体"/>
          <w:color w:val="000000"/>
          <w:sz w:val="24"/>
        </w:rPr>
        <w:t>1</w:t>
      </w:r>
      <w:r>
        <w:rPr>
          <w:rFonts w:hint="eastAsia" w:ascii="宋体" w:hAnsi="宋体"/>
          <w:color w:val="000000"/>
          <w:sz w:val="24"/>
        </w:rPr>
        <w:t>、供方不履行合同或履行合同不符合约定的，有权随时解除合同，并扣除违约金及履约保证金。如果需方因此造成的实际损失超过约定的违约金，则供方的赔偿额应以需方的实际损失为准。</w:t>
      </w:r>
    </w:p>
    <w:p>
      <w:pPr>
        <w:pStyle w:val="519"/>
        <w:spacing w:line="380" w:lineRule="exact"/>
        <w:ind w:firstLine="490"/>
        <w:rPr>
          <w:rFonts w:ascii="宋体"/>
          <w:color w:val="000000"/>
          <w:sz w:val="24"/>
        </w:rPr>
      </w:pPr>
      <w:r>
        <w:rPr>
          <w:rFonts w:ascii="宋体" w:hAnsi="宋体"/>
          <w:color w:val="000000"/>
          <w:sz w:val="24"/>
        </w:rPr>
        <w:t>2</w:t>
      </w:r>
      <w:r>
        <w:rPr>
          <w:rFonts w:hint="eastAsia" w:ascii="宋体" w:hAnsi="宋体"/>
          <w:color w:val="000000"/>
          <w:sz w:val="24"/>
        </w:rPr>
        <w:t>、合同经供需双方代表签字并加盖公章（或合同章），且见证部门盖章后即生效。</w:t>
      </w:r>
    </w:p>
    <w:p>
      <w:pPr>
        <w:pStyle w:val="519"/>
        <w:spacing w:line="380" w:lineRule="exact"/>
        <w:ind w:firstLine="490"/>
        <w:rPr>
          <w:rFonts w:ascii="宋体"/>
          <w:color w:val="000000"/>
          <w:sz w:val="24"/>
        </w:rPr>
      </w:pPr>
      <w:r>
        <w:rPr>
          <w:rFonts w:ascii="宋体" w:hAnsi="宋体"/>
          <w:color w:val="000000"/>
          <w:sz w:val="24"/>
        </w:rPr>
        <w:t>3</w:t>
      </w:r>
      <w:r>
        <w:rPr>
          <w:rFonts w:hint="eastAsia" w:ascii="宋体" w:hAnsi="宋体"/>
          <w:color w:val="000000"/>
          <w:sz w:val="24"/>
        </w:rPr>
        <w:t>、合同签订后供需双方即直接产生权利与义务的关系，合同执行过程中出现的问题应按照《合同法》的规定办理，在合同履行过程中，双方如有争议，先由发包人协调解决，如协调解决不成，则可向发包人所在地（宜兴）法院起诉。</w:t>
      </w:r>
    </w:p>
    <w:p>
      <w:pPr>
        <w:pStyle w:val="519"/>
        <w:spacing w:line="380" w:lineRule="exact"/>
        <w:ind w:firstLine="490"/>
        <w:rPr>
          <w:rFonts w:ascii="宋体"/>
          <w:color w:val="000000"/>
          <w:sz w:val="24"/>
        </w:rPr>
      </w:pPr>
      <w:r>
        <w:rPr>
          <w:rFonts w:ascii="宋体" w:hAnsi="宋体"/>
          <w:color w:val="000000"/>
          <w:sz w:val="24"/>
        </w:rPr>
        <w:t>4</w:t>
      </w:r>
      <w:r>
        <w:rPr>
          <w:rFonts w:hint="eastAsia" w:ascii="宋体" w:hAnsi="宋体"/>
          <w:color w:val="000000"/>
          <w:sz w:val="24"/>
        </w:rPr>
        <w:t>、合同在执行过程中出现的未尽事宜，在不违背本合同和招标文件的原则下协议解决，协商结果必须报见证方同意后以书面形式盖章记录在案，作为合同的附件，与本合同具有同等效力。</w:t>
      </w:r>
    </w:p>
    <w:p>
      <w:pPr>
        <w:pStyle w:val="519"/>
        <w:spacing w:line="380" w:lineRule="exact"/>
        <w:ind w:firstLine="490"/>
        <w:rPr>
          <w:rFonts w:ascii="宋体"/>
          <w:color w:val="000000"/>
          <w:sz w:val="24"/>
        </w:rPr>
      </w:pPr>
      <w:r>
        <w:rPr>
          <w:rFonts w:ascii="宋体" w:hAnsi="宋体"/>
          <w:color w:val="000000"/>
          <w:sz w:val="24"/>
        </w:rPr>
        <w:t>5</w:t>
      </w:r>
      <w:r>
        <w:rPr>
          <w:rFonts w:hint="eastAsia" w:ascii="宋体" w:hAnsi="宋体"/>
          <w:color w:val="000000"/>
          <w:sz w:val="24"/>
        </w:rPr>
        <w:t>、投标单位投标前应自行勘查安装和使用现场，充分考虑完成本项目的一切费用，在结算时以投标报价为准，不作调整。</w:t>
      </w:r>
    </w:p>
    <w:p>
      <w:pPr>
        <w:pStyle w:val="519"/>
        <w:spacing w:line="380" w:lineRule="exact"/>
        <w:ind w:firstLine="490"/>
        <w:rPr>
          <w:rFonts w:ascii="??" w:hAnsi="??" w:cs="宋体"/>
          <w:color w:val="000000"/>
          <w:kern w:val="0"/>
          <w:sz w:val="24"/>
        </w:rPr>
      </w:pPr>
      <w:r>
        <w:rPr>
          <w:rFonts w:ascii="??" w:hAnsi="??" w:cs="宋体"/>
          <w:color w:val="000000"/>
          <w:kern w:val="0"/>
          <w:sz w:val="24"/>
        </w:rPr>
        <w:t>6</w:t>
      </w:r>
      <w:r>
        <w:rPr>
          <w:rFonts w:hint="eastAsia" w:ascii="??" w:hAnsi="??" w:cs="宋体"/>
          <w:color w:val="000000"/>
          <w:kern w:val="0"/>
          <w:sz w:val="24"/>
        </w:rPr>
        <w:t>、供货期内如遇产品平滑（自然）升级，供应商应提供平滑升级商品不补差价（招标文件中有特殊要求的除外）</w:t>
      </w:r>
    </w:p>
    <w:p>
      <w:pPr>
        <w:pStyle w:val="519"/>
        <w:spacing w:line="380" w:lineRule="exact"/>
        <w:ind w:firstLine="490"/>
        <w:rPr>
          <w:rFonts w:ascii="??" w:hAnsi="??" w:cs="宋体"/>
          <w:color w:val="000000"/>
          <w:kern w:val="0"/>
          <w:sz w:val="24"/>
        </w:rPr>
      </w:pPr>
      <w:r>
        <w:rPr>
          <w:rFonts w:ascii="宋体" w:hAnsi="宋体" w:cs="宋体"/>
          <w:color w:val="000000"/>
          <w:kern w:val="0"/>
          <w:sz w:val="24"/>
        </w:rPr>
        <w:t>7</w:t>
      </w:r>
      <w:r>
        <w:rPr>
          <w:rFonts w:hint="eastAsia" w:ascii="宋体" w:hAnsi="宋体" w:cs="宋体"/>
          <w:color w:val="000000"/>
          <w:kern w:val="0"/>
          <w:sz w:val="24"/>
        </w:rPr>
        <w:t>、标后履约管理行为参照</w:t>
      </w:r>
      <w:r>
        <w:rPr>
          <w:rFonts w:hint="eastAsia" w:ascii="宋体" w:cs="宋体"/>
          <w:color w:val="000000"/>
          <w:kern w:val="0"/>
          <w:sz w:val="24"/>
        </w:rPr>
        <w:t>“</w:t>
      </w:r>
      <w:r>
        <w:rPr>
          <w:rFonts w:hint="eastAsia" w:ascii="宋体" w:hAnsi="宋体" w:cs="宋体"/>
          <w:color w:val="000000"/>
          <w:kern w:val="0"/>
          <w:sz w:val="24"/>
          <w:highlight w:val="yellow"/>
        </w:rPr>
        <w:t>宜招管发（</w:t>
      </w:r>
      <w:r>
        <w:rPr>
          <w:rFonts w:ascii="宋体" w:hAnsi="宋体" w:cs="宋体"/>
          <w:color w:val="000000"/>
          <w:kern w:val="0"/>
          <w:sz w:val="24"/>
          <w:highlight w:val="yellow"/>
        </w:rPr>
        <w:t>2018</w:t>
      </w:r>
      <w:r>
        <w:rPr>
          <w:rFonts w:hint="eastAsia" w:ascii="宋体" w:hAnsi="宋体" w:cs="宋体"/>
          <w:color w:val="000000"/>
          <w:kern w:val="0"/>
          <w:sz w:val="24"/>
          <w:highlight w:val="yellow"/>
        </w:rPr>
        <w:t>）</w:t>
      </w:r>
      <w:r>
        <w:rPr>
          <w:rFonts w:ascii="宋体" w:hAnsi="宋体" w:cs="宋体"/>
          <w:color w:val="000000"/>
          <w:kern w:val="0"/>
          <w:sz w:val="24"/>
          <w:highlight w:val="yellow"/>
        </w:rPr>
        <w:t>47</w:t>
      </w:r>
      <w:r>
        <w:rPr>
          <w:rFonts w:hint="eastAsia" w:ascii="宋体" w:hAnsi="宋体" w:cs="宋体"/>
          <w:color w:val="000000"/>
          <w:kern w:val="0"/>
          <w:sz w:val="24"/>
          <w:highlight w:val="yellow"/>
        </w:rPr>
        <w:t>号文</w:t>
      </w:r>
      <w:r>
        <w:rPr>
          <w:rFonts w:hint="eastAsia" w:ascii="宋体" w:cs="宋体"/>
          <w:color w:val="000000"/>
          <w:kern w:val="0"/>
          <w:sz w:val="24"/>
        </w:rPr>
        <w:t>”</w:t>
      </w:r>
      <w:r>
        <w:rPr>
          <w:rFonts w:hint="eastAsia" w:ascii="宋体" w:hAnsi="宋体" w:cs="宋体"/>
          <w:color w:val="000000"/>
          <w:kern w:val="0"/>
          <w:sz w:val="24"/>
        </w:rPr>
        <w:t>。</w:t>
      </w:r>
    </w:p>
    <w:p>
      <w:pPr>
        <w:pStyle w:val="519"/>
        <w:ind w:firstLine="480" w:firstLineChars="200"/>
        <w:rPr>
          <w:rFonts w:ascii="宋体"/>
          <w:color w:val="000000"/>
          <w:sz w:val="24"/>
        </w:rPr>
      </w:pPr>
      <w:r>
        <w:rPr>
          <w:rFonts w:ascii="宋体" w:hAnsi="宋体"/>
          <w:color w:val="000000"/>
          <w:sz w:val="24"/>
        </w:rPr>
        <w:t>8</w:t>
      </w:r>
      <w:r>
        <w:rPr>
          <w:rFonts w:hint="eastAsia" w:ascii="宋体" w:hAnsi="宋体"/>
          <w:color w:val="000000"/>
          <w:sz w:val="24"/>
        </w:rPr>
        <w:t>、其它未尽事宜，合同双方签定附属协议。</w:t>
      </w:r>
    </w:p>
    <w:p>
      <w:pPr>
        <w:spacing w:line="360" w:lineRule="auto"/>
        <w:jc w:val="left"/>
        <w:rPr>
          <w:rFonts w:hint="eastAsia" w:ascii="黑体" w:hAnsi="黑体" w:eastAsia="黑体"/>
          <w:sz w:val="28"/>
        </w:rPr>
      </w:pPr>
      <w:r>
        <w:rPr>
          <w:rFonts w:ascii="宋体" w:hAnsi="宋体"/>
          <w:color w:val="000000"/>
          <w:sz w:val="24"/>
        </w:rPr>
        <w:t>9</w:t>
      </w:r>
      <w:r>
        <w:rPr>
          <w:rFonts w:hint="eastAsia" w:ascii="宋体" w:hAnsi="宋体"/>
          <w:color w:val="000000"/>
          <w:sz w:val="24"/>
        </w:rPr>
        <w:t>、合同签订时或实际使用时数量可能会有较大变动，中标单位接到需方发货传真后才能生产对应的设备，最终结算以实际使用数量结算，若由于采购方原因导致使用数量不足而终止合同的，不作为违约处理。投标人必须充分考虑市场原料价格变动和实际使用数量的风险，最终结算以单价为准。</w:t>
      </w:r>
    </w:p>
    <w:p>
      <w:pPr>
        <w:spacing w:line="360" w:lineRule="auto"/>
        <w:jc w:val="center"/>
      </w:pPr>
      <w:r>
        <w:t xml:space="preserve"> </w:t>
      </w: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pPr>
    </w:p>
    <w:p>
      <w:pPr>
        <w:spacing w:line="360" w:lineRule="auto"/>
        <w:jc w:val="center"/>
        <w:outlineLvl w:val="0"/>
        <w:rPr>
          <w:rFonts w:ascii="黑体" w:hAnsi="黑体" w:eastAsia="黑体"/>
          <w:sz w:val="28"/>
        </w:rPr>
      </w:pPr>
      <w:bookmarkStart w:id="90"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91" w:name="_Toc29240"/>
      <w:r>
        <w:rPr>
          <w:rFonts w:hint="eastAsia" w:ascii="宋体" w:hAnsi="宋体"/>
          <w:b/>
          <w:sz w:val="120"/>
          <w:szCs w:val="120"/>
        </w:rPr>
        <w:t>投标文件</w:t>
      </w:r>
      <w:bookmarkEnd w:id="91"/>
    </w:p>
    <w:p>
      <w:pPr>
        <w:jc w:val="center"/>
        <w:rPr>
          <w:rFonts w:ascii="宋体" w:hAnsi="宋体"/>
          <w:b/>
          <w:sz w:val="32"/>
          <w:szCs w:val="32"/>
        </w:rPr>
      </w:pPr>
      <w:bookmarkStart w:id="92" w:name="_Toc2400"/>
      <w:r>
        <w:rPr>
          <w:rFonts w:hint="eastAsia" w:ascii="宋体" w:hAnsi="宋体"/>
          <w:b/>
          <w:sz w:val="32"/>
          <w:szCs w:val="32"/>
        </w:rPr>
        <w:t>项目编号：</w:t>
      </w:r>
      <w:bookmarkEnd w:id="92"/>
      <w:r>
        <w:t>YXGYJT202110011</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spacing w:line="400" w:lineRule="exact"/>
        <w:jc w:val="left"/>
        <w:rPr>
          <w:rFonts w:hint="eastAsia" w:ascii="宋体" w:hAnsi="宋体"/>
          <w:b/>
          <w:sz w:val="32"/>
          <w:szCs w:val="32"/>
          <w:u w:val="single"/>
        </w:rPr>
      </w:pPr>
      <w:bookmarkStart w:id="93" w:name="_Toc10010"/>
      <w:r>
        <w:rPr>
          <w:rFonts w:hint="eastAsia" w:ascii="宋体" w:hAnsi="宋体"/>
          <w:b/>
          <w:sz w:val="32"/>
          <w:szCs w:val="32"/>
        </w:rPr>
        <w:t>项目名称：</w:t>
      </w:r>
      <w:bookmarkEnd w:id="93"/>
      <w:bookmarkStart w:id="94" w:name="_Toc8670"/>
      <w:r>
        <w:rPr>
          <w:rFonts w:hint="eastAsia" w:ascii="宋体" w:hAnsi="宋体"/>
          <w:b/>
          <w:sz w:val="32"/>
          <w:szCs w:val="32"/>
          <w:u w:val="single"/>
        </w:rPr>
        <w:t>宜兴水务集团有限公司移动式发电机组采购</w:t>
      </w:r>
    </w:p>
    <w:p>
      <w:pPr>
        <w:spacing w:line="400" w:lineRule="exact"/>
        <w:jc w:val="left"/>
        <w:rPr>
          <w:rFonts w:hint="eastAsia" w:ascii="宋体" w:hAnsi="宋体"/>
          <w:b/>
          <w:sz w:val="32"/>
          <w:szCs w:val="32"/>
          <w:u w:val="single"/>
        </w:rPr>
      </w:pP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94"/>
    </w:p>
    <w:p>
      <w:pPr>
        <w:rPr>
          <w:rFonts w:ascii="宋体" w:hAnsi="宋体"/>
        </w:rPr>
      </w:pPr>
      <w:bookmarkStart w:id="95"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95"/>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96" w:name="_Toc1179"/>
      <w:r>
        <w:rPr>
          <w:rFonts w:hint="eastAsia" w:ascii="宋体" w:hAnsi="宋体"/>
          <w:b/>
          <w:sz w:val="32"/>
          <w:szCs w:val="32"/>
        </w:rPr>
        <w:t>日期： 年 月 日</w:t>
      </w:r>
      <w:bookmarkEnd w:id="96"/>
    </w:p>
    <w:p>
      <w:pPr>
        <w:rPr>
          <w:rFonts w:ascii="宋体"/>
          <w:b/>
          <w:bCs/>
          <w:sz w:val="24"/>
          <w:szCs w:val="24"/>
        </w:rPr>
      </w:pPr>
      <w:bookmarkStart w:id="97" w:name="_Toc24602"/>
      <w:r>
        <w:rPr>
          <w:rFonts w:hint="eastAsia" w:ascii="黑体" w:hAnsi="宋体" w:eastAsia="黑体"/>
          <w:bCs/>
          <w:sz w:val="24"/>
          <w:szCs w:val="24"/>
        </w:rPr>
        <w:br w:type="page"/>
      </w:r>
      <w:bookmarkStart w:id="98" w:name="OLE_LINK24"/>
      <w:r>
        <w:rPr>
          <w:rFonts w:hint="eastAsia" w:ascii="黑体" w:hAnsi="宋体" w:eastAsia="黑体"/>
          <w:bCs/>
          <w:sz w:val="28"/>
          <w:szCs w:val="28"/>
        </w:rPr>
        <w:t>（一）投标函（格式）：</w:t>
      </w:r>
    </w:p>
    <w:bookmarkEnd w:id="98"/>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99" w:name="OLE_LINK185"/>
      <w:r>
        <w:rPr>
          <w:rFonts w:hint="eastAsia" w:ascii="宋体" w:hAnsi="宋体"/>
          <w:bCs/>
          <w:sz w:val="24"/>
          <w:lang w:val="zh-CN"/>
        </w:rPr>
        <w:t xml:space="preserve">    致</w:t>
      </w:r>
      <w:bookmarkEnd w:id="99"/>
      <w:r>
        <w:rPr>
          <w:rFonts w:hint="eastAsia" w:ascii="宋体" w:hAnsi="宋体"/>
          <w:bCs/>
          <w:sz w:val="24"/>
          <w:lang w:val="zh-CN"/>
        </w:rPr>
        <w:t>宜兴水务集团有限公司：</w:t>
      </w:r>
    </w:p>
    <w:p>
      <w:pPr>
        <w:spacing w:line="400" w:lineRule="exact"/>
        <w:jc w:val="left"/>
        <w:rPr>
          <w:rFonts w:hint="eastAsia" w:ascii="宋体" w:hAnsi="宋体"/>
          <w:bCs/>
          <w:sz w:val="24"/>
          <w:szCs w:val="22"/>
          <w:u w:val="single"/>
          <w:lang w:val="zh-CN"/>
        </w:rPr>
      </w:pPr>
      <w:r>
        <w:rPr>
          <w:rFonts w:hint="eastAsia" w:ascii="宋体" w:hAnsi="宋体"/>
          <w:bCs/>
          <w:sz w:val="24"/>
          <w:lang w:val="zh-CN"/>
        </w:rPr>
        <w:t>我方收到你们</w:t>
      </w:r>
      <w:r>
        <w:rPr>
          <w:rFonts w:hint="eastAsia" w:ascii="宋体" w:hAnsi="宋体"/>
          <w:bCs/>
          <w:sz w:val="24"/>
          <w:u w:val="single"/>
          <w:lang w:val="zh-CN"/>
        </w:rPr>
        <w:t>宜兴水务集团有限公司</w:t>
      </w:r>
      <w:r>
        <w:rPr>
          <w:rFonts w:hint="eastAsia" w:ascii="宋体" w:hAnsi="宋体"/>
          <w:bCs/>
          <w:sz w:val="24"/>
          <w:szCs w:val="22"/>
          <w:u w:val="single"/>
          <w:lang w:val="zh-CN"/>
        </w:rPr>
        <w:t>移动式发电机组采购</w:t>
      </w:r>
    </w:p>
    <w:p>
      <w:pPr>
        <w:spacing w:line="276" w:lineRule="auto"/>
        <w:ind w:firstLine="480" w:firstLineChars="200"/>
        <w:rPr>
          <w:rFonts w:ascii="宋体" w:hAnsi="宋体"/>
          <w:bCs/>
          <w:sz w:val="24"/>
          <w:lang w:val="zh-CN"/>
        </w:rPr>
      </w:pPr>
      <w:r>
        <w:rPr>
          <w:rFonts w:hint="eastAsia" w:ascii="宋体" w:hAnsi="宋体"/>
          <w:bCs/>
          <w:sz w:val="24"/>
          <w:lang w:val="zh-CN"/>
        </w:rPr>
        <w:t>采购招标文件，经仔细阅读和研究，我方决定参加投标。</w:t>
      </w:r>
    </w:p>
    <w:p>
      <w:pPr>
        <w:numPr>
          <w:ilvl w:val="0"/>
          <w:numId w:val="27"/>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7"/>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7"/>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7"/>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7"/>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7"/>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7"/>
        </w:numPr>
        <w:spacing w:line="276" w:lineRule="auto"/>
        <w:ind w:firstLine="480" w:firstLineChars="200"/>
        <w:rPr>
          <w:rFonts w:ascii="宋体" w:hAnsi="宋体"/>
          <w:bCs/>
          <w:sz w:val="24"/>
          <w:lang w:val="zh-CN"/>
        </w:rPr>
      </w:pPr>
      <w:r>
        <w:rPr>
          <w:rFonts w:hint="eastAsia" w:ascii="宋体" w:hAnsi="宋体"/>
          <w:bCs/>
          <w:sz w:val="24"/>
          <w:lang w:val="zh-CN"/>
        </w:rPr>
        <w:t>我方愿意按《合同法》和合同条款履行自己的全部责任。</w:t>
      </w:r>
    </w:p>
    <w:p>
      <w:pPr>
        <w:numPr>
          <w:ilvl w:val="0"/>
          <w:numId w:val="27"/>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7"/>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7"/>
        </w:numPr>
        <w:spacing w:line="276" w:lineRule="auto"/>
        <w:ind w:firstLine="480" w:firstLineChars="200"/>
        <w:rPr>
          <w:rFonts w:ascii="宋体" w:hAnsi="宋体"/>
          <w:bCs/>
          <w:sz w:val="24"/>
          <w:lang w:val="zh-CN"/>
        </w:rPr>
      </w:pPr>
      <w:bookmarkStart w:id="100"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100"/>
    <w:p>
      <w:pPr>
        <w:numPr>
          <w:ilvl w:val="0"/>
          <w:numId w:val="27"/>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101" w:name="OLE_LINK30"/>
      <w:bookmarkStart w:id="102" w:name="OLE_LINK34"/>
      <w:r>
        <w:rPr>
          <w:rFonts w:hint="eastAsia" w:ascii="宋体" w:hAnsi="宋体"/>
          <w:bCs/>
          <w:sz w:val="24"/>
          <w:lang w:val="zh-CN"/>
        </w:rPr>
        <w:t>投标人签名：</w:t>
      </w:r>
    </w:p>
    <w:p>
      <w:pPr>
        <w:spacing w:line="276" w:lineRule="auto"/>
        <w:jc w:val="center"/>
        <w:rPr>
          <w:rFonts w:ascii="宋体" w:hAnsi="宋体"/>
          <w:bCs/>
          <w:sz w:val="24"/>
          <w:lang w:val="zh-CN"/>
        </w:rPr>
      </w:pPr>
      <w:bookmarkStart w:id="103" w:name="OLE_LINK28"/>
      <w:r>
        <w:rPr>
          <w:rFonts w:hint="eastAsia" w:ascii="宋体" w:hAnsi="宋体"/>
          <w:bCs/>
          <w:sz w:val="24"/>
          <w:lang w:val="zh-CN"/>
        </w:rPr>
        <w:t>投标人公章</w:t>
      </w:r>
      <w:bookmarkEnd w:id="103"/>
      <w:r>
        <w:rPr>
          <w:rFonts w:hint="eastAsia" w:ascii="宋体" w:hAnsi="宋体"/>
          <w:bCs/>
          <w:sz w:val="24"/>
          <w:lang w:val="zh-CN"/>
        </w:rPr>
        <w:t>：</w:t>
      </w:r>
    </w:p>
    <w:bookmarkEnd w:id="101"/>
    <w:bookmarkEnd w:id="102"/>
    <w:p>
      <w:pPr>
        <w:spacing w:line="480" w:lineRule="exact"/>
        <w:rPr>
          <w:rFonts w:ascii="黑体" w:hAnsi="宋体" w:eastAsia="黑体"/>
          <w:bCs/>
          <w:sz w:val="28"/>
          <w:szCs w:val="28"/>
        </w:rPr>
      </w:pPr>
      <w:bookmarkStart w:id="104" w:name="OLE_LINK146"/>
      <w:r>
        <w:rPr>
          <w:rFonts w:ascii="黑体" w:hAnsi="宋体" w:eastAsia="黑体"/>
          <w:bCs/>
          <w:sz w:val="24"/>
          <w:szCs w:val="24"/>
        </w:rPr>
        <w:br w:type="page"/>
      </w:r>
      <w:r>
        <w:rPr>
          <w:rFonts w:hint="eastAsia" w:ascii="黑体" w:hAnsi="宋体" w:eastAsia="黑体"/>
          <w:bCs/>
          <w:sz w:val="28"/>
          <w:szCs w:val="28"/>
        </w:rPr>
        <w:t>（二）报价文件：</w:t>
      </w:r>
      <w:bookmarkEnd w:id="104"/>
    </w:p>
    <w:bookmarkEnd w:id="97"/>
    <w:p>
      <w:pPr>
        <w:spacing w:before="156" w:beforeLines="50" w:after="156" w:afterLines="50"/>
        <w:jc w:val="center"/>
        <w:rPr>
          <w:rFonts w:hint="eastAsia" w:ascii="黑体" w:eastAsia="黑体"/>
          <w:bCs/>
          <w:sz w:val="24"/>
          <w:szCs w:val="24"/>
        </w:rPr>
      </w:pPr>
      <w:bookmarkStart w:id="105" w:name="_Toc32423"/>
      <w:bookmarkStart w:id="106" w:name="OLE_LINK4"/>
      <w:bookmarkStart w:id="107" w:name="OLE_LINK32"/>
      <w:r>
        <w:rPr>
          <w:rFonts w:hint="eastAsia" w:ascii="黑体" w:eastAsia="黑体"/>
          <w:bCs/>
          <w:sz w:val="24"/>
          <w:szCs w:val="24"/>
        </w:rPr>
        <w:t>开标一览表</w:t>
      </w:r>
      <w:bookmarkEnd w:id="105"/>
      <w:bookmarkEnd w:id="106"/>
    </w:p>
    <w:tbl>
      <w:tblPr>
        <w:tblStyle w:val="75"/>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531"/>
        <w:gridCol w:w="1744"/>
        <w:gridCol w:w="2111"/>
        <w:gridCol w:w="2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1"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序号</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设备名称</w:t>
            </w:r>
          </w:p>
        </w:tc>
        <w:tc>
          <w:tcPr>
            <w:tcW w:w="17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数量</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规格</w:t>
            </w:r>
          </w:p>
        </w:tc>
        <w:tc>
          <w:tcPr>
            <w:tcW w:w="28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8"/>
              </w:rPr>
            </w:pPr>
            <w:r>
              <w:rPr>
                <w:rFonts w:hint="eastAsia" w:ascii="宋体" w:hAnsi="宋体"/>
                <w:sz w:val="24"/>
                <w:szCs w:val="28"/>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ind w:left="-111" w:leftChars="-53" w:firstLine="62" w:firstLineChars="26"/>
              <w:jc w:val="center"/>
              <w:rPr>
                <w:rFonts w:ascii="宋体" w:hAnsi="宋体"/>
                <w:sz w:val="24"/>
                <w:szCs w:val="28"/>
              </w:rPr>
            </w:pPr>
            <w:r>
              <w:rPr>
                <w:rFonts w:hint="eastAsia" w:ascii="宋体" w:hAnsi="宋体"/>
                <w:sz w:val="24"/>
                <w:szCs w:val="28"/>
              </w:rPr>
              <w:t>1</w:t>
            </w:r>
          </w:p>
        </w:tc>
        <w:tc>
          <w:tcPr>
            <w:tcW w:w="2531" w:type="dxa"/>
            <w:vMerge w:val="restart"/>
            <w:tcBorders>
              <w:top w:val="single" w:color="auto" w:sz="4" w:space="0"/>
              <w:left w:val="single" w:color="auto" w:sz="4" w:space="0"/>
              <w:right w:val="single" w:color="auto" w:sz="4" w:space="0"/>
            </w:tcBorders>
            <w:noWrap w:val="0"/>
            <w:vAlign w:val="center"/>
          </w:tcPr>
          <w:p>
            <w:pPr>
              <w:ind w:left="-111" w:leftChars="-53" w:firstLine="62" w:firstLineChars="26"/>
              <w:jc w:val="center"/>
              <w:rPr>
                <w:rFonts w:ascii="宋体" w:hAnsi="宋体"/>
                <w:sz w:val="24"/>
                <w:szCs w:val="28"/>
              </w:rPr>
            </w:pPr>
            <w:r>
              <w:rPr>
                <w:rFonts w:hint="eastAsia"/>
                <w:sz w:val="24"/>
              </w:rPr>
              <w:t>移动式柴油发电机组</w:t>
            </w:r>
          </w:p>
        </w:tc>
        <w:tc>
          <w:tcPr>
            <w:tcW w:w="17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8"/>
              </w:rPr>
            </w:pPr>
            <w:r>
              <w:rPr>
                <w:rFonts w:hint="eastAsia" w:ascii="宋体" w:hAnsi="宋体"/>
                <w:sz w:val="24"/>
                <w:szCs w:val="28"/>
              </w:rPr>
              <w:t>1</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r>
              <w:rPr>
                <w:rFonts w:hint="eastAsia" w:ascii="宋体" w:hAnsi="宋体"/>
                <w:sz w:val="24"/>
                <w:szCs w:val="28"/>
              </w:rPr>
              <w:t>50kw</w:t>
            </w:r>
          </w:p>
        </w:tc>
        <w:tc>
          <w:tcPr>
            <w:tcW w:w="28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4"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ind w:left="-111" w:leftChars="-53" w:firstLine="62" w:firstLineChars="26"/>
              <w:jc w:val="center"/>
              <w:rPr>
                <w:rFonts w:hint="eastAsia" w:ascii="宋体" w:hAnsi="宋体"/>
                <w:sz w:val="24"/>
                <w:szCs w:val="28"/>
              </w:rPr>
            </w:pPr>
            <w:r>
              <w:rPr>
                <w:rFonts w:hint="eastAsia" w:ascii="宋体" w:hAnsi="宋体"/>
                <w:sz w:val="24"/>
                <w:szCs w:val="28"/>
              </w:rPr>
              <w:t>2</w:t>
            </w:r>
          </w:p>
        </w:tc>
        <w:tc>
          <w:tcPr>
            <w:tcW w:w="2531" w:type="dxa"/>
            <w:vMerge w:val="continue"/>
            <w:tcBorders>
              <w:left w:val="single" w:color="auto" w:sz="4" w:space="0"/>
              <w:right w:val="single" w:color="auto" w:sz="4" w:space="0"/>
            </w:tcBorders>
            <w:noWrap w:val="0"/>
            <w:vAlign w:val="center"/>
          </w:tcPr>
          <w:p>
            <w:pPr>
              <w:ind w:left="-111" w:leftChars="-53" w:firstLine="62" w:firstLineChars="26"/>
              <w:jc w:val="center"/>
              <w:rPr>
                <w:rFonts w:hint="eastAsia"/>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8"/>
              </w:rPr>
            </w:pPr>
            <w:r>
              <w:rPr>
                <w:rFonts w:hint="eastAsia" w:ascii="宋体" w:hAnsi="宋体"/>
                <w:sz w:val="24"/>
                <w:szCs w:val="28"/>
              </w:rPr>
              <w:t>1</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8"/>
              </w:rPr>
            </w:pPr>
            <w:r>
              <w:rPr>
                <w:rFonts w:hint="eastAsia" w:ascii="宋体" w:hAnsi="宋体"/>
                <w:sz w:val="24"/>
                <w:szCs w:val="28"/>
              </w:rPr>
              <w:t>160kw，6缸，排气量8.3L</w:t>
            </w:r>
          </w:p>
        </w:tc>
        <w:tc>
          <w:tcPr>
            <w:tcW w:w="2838" w:type="dxa"/>
            <w:tcBorders>
              <w:top w:val="single" w:color="auto" w:sz="4" w:space="0"/>
              <w:left w:val="single" w:color="auto" w:sz="4" w:space="0"/>
              <w:right w:val="single" w:color="auto" w:sz="4" w:space="0"/>
            </w:tcBorders>
            <w:noWrap w:val="0"/>
            <w:vAlign w:val="center"/>
          </w:tcPr>
          <w:p>
            <w:pPr>
              <w:jc w:val="cente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ind w:left="-111" w:leftChars="-53" w:firstLine="62" w:firstLineChars="26"/>
              <w:jc w:val="center"/>
              <w:rPr>
                <w:rFonts w:hint="eastAsia" w:ascii="宋体" w:hAnsi="宋体"/>
                <w:sz w:val="24"/>
                <w:szCs w:val="28"/>
              </w:rPr>
            </w:pPr>
            <w:r>
              <w:rPr>
                <w:rFonts w:hint="eastAsia" w:ascii="宋体" w:hAnsi="宋体"/>
                <w:sz w:val="24"/>
                <w:szCs w:val="28"/>
              </w:rPr>
              <w:t>3</w:t>
            </w:r>
          </w:p>
        </w:tc>
        <w:tc>
          <w:tcPr>
            <w:tcW w:w="2531" w:type="dxa"/>
            <w:vMerge w:val="continue"/>
            <w:tcBorders>
              <w:left w:val="single" w:color="auto" w:sz="4" w:space="0"/>
              <w:right w:val="single" w:color="auto" w:sz="4" w:space="0"/>
            </w:tcBorders>
            <w:noWrap w:val="0"/>
            <w:vAlign w:val="center"/>
          </w:tcPr>
          <w:p>
            <w:pPr>
              <w:ind w:left="-111" w:leftChars="-53" w:firstLine="62" w:firstLineChars="26"/>
              <w:jc w:val="center"/>
              <w:rPr>
                <w:rFonts w:hint="eastAsia"/>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8"/>
              </w:rPr>
            </w:pPr>
            <w:r>
              <w:rPr>
                <w:rFonts w:hint="eastAsia" w:ascii="宋体" w:hAnsi="宋体"/>
                <w:sz w:val="24"/>
                <w:szCs w:val="28"/>
              </w:rPr>
              <w:t>1</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8"/>
              </w:rPr>
            </w:pPr>
            <w:r>
              <w:rPr>
                <w:rFonts w:hint="eastAsia" w:ascii="宋体" w:hAnsi="宋体"/>
                <w:sz w:val="24"/>
                <w:szCs w:val="28"/>
              </w:rPr>
              <w:t>250kw，6缸，排气量14L</w:t>
            </w:r>
          </w:p>
        </w:tc>
        <w:tc>
          <w:tcPr>
            <w:tcW w:w="2838" w:type="dxa"/>
            <w:tcBorders>
              <w:left w:val="single" w:color="auto" w:sz="4" w:space="0"/>
              <w:right w:val="single" w:color="auto" w:sz="4" w:space="0"/>
            </w:tcBorders>
            <w:noWrap w:val="0"/>
            <w:vAlign w:val="center"/>
          </w:tcPr>
          <w:p>
            <w:pPr>
              <w:jc w:val="center"/>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7" w:hRule="atLeast"/>
          <w:jc w:val="center"/>
        </w:trPr>
        <w:tc>
          <w:tcPr>
            <w:tcW w:w="498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8"/>
              </w:rPr>
            </w:pPr>
            <w:r>
              <w:rPr>
                <w:rFonts w:hint="eastAsia" w:ascii="宋体" w:hAnsi="宋体"/>
                <w:sz w:val="24"/>
                <w:szCs w:val="28"/>
              </w:rPr>
              <w:t>合计</w:t>
            </w:r>
          </w:p>
        </w:tc>
        <w:tc>
          <w:tcPr>
            <w:tcW w:w="494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8"/>
              </w:rPr>
            </w:pPr>
          </w:p>
        </w:tc>
      </w:tr>
    </w:tbl>
    <w:p>
      <w:pPr>
        <w:spacing w:before="156" w:beforeLines="50" w:after="156" w:afterLines="50"/>
        <w:rPr>
          <w:rFonts w:hint="eastAsia" w:ascii="黑体" w:eastAsia="黑体"/>
          <w:bCs/>
          <w:sz w:val="24"/>
          <w:szCs w:val="24"/>
        </w:rPr>
      </w:pPr>
    </w:p>
    <w:p>
      <w:pPr>
        <w:rPr>
          <w:rFonts w:ascii="宋体" w:hAnsi="宋体"/>
          <w:bCs/>
          <w:sz w:val="24"/>
          <w:lang w:val="zh-CN"/>
        </w:rPr>
      </w:pPr>
    </w:p>
    <w:p>
      <w:pPr>
        <w:ind w:left="1"/>
        <w:jc w:val="center"/>
        <w:rPr>
          <w:rFonts w:ascii="宋体" w:hAnsi="宋体"/>
          <w:bCs/>
          <w:sz w:val="24"/>
        </w:rPr>
      </w:pPr>
      <w:r>
        <w:rPr>
          <w:rFonts w:hint="eastAsia" w:ascii="宋体" w:hAnsi="宋体"/>
          <w:bCs/>
          <w:sz w:val="24"/>
          <w:lang w:val="zh-CN"/>
        </w:rPr>
        <w:t xml:space="preserve">投标人签名：                                       </w:t>
      </w:r>
      <w:r>
        <w:rPr>
          <w:rFonts w:hint="eastAsia" w:ascii="宋体" w:hAnsi="宋体"/>
          <w:sz w:val="24"/>
          <w:szCs w:val="24"/>
        </w:rPr>
        <w:t>日期：</w:t>
      </w:r>
      <w:bookmarkEnd w:id="107"/>
      <w:bookmarkStart w:id="108" w:name="OLE_LINK147"/>
    </w:p>
    <w:bookmarkEnd w:id="108"/>
    <w:p>
      <w:pPr>
        <w:ind w:left="1" w:firstLine="420" w:firstLineChars="200"/>
        <w:jc w:val="left"/>
        <w:rPr>
          <w:rFonts w:hint="eastAsia" w:ascii="宋体" w:hAnsi="宋体"/>
          <w:szCs w:val="21"/>
          <w:lang w:val="zh-CN"/>
        </w:rPr>
      </w:pPr>
      <w:r>
        <w:rPr>
          <w:rFonts w:hint="eastAsia" w:ascii="宋体" w:hAnsi="宋体"/>
          <w:szCs w:val="21"/>
          <w:lang w:val="zh-CN"/>
        </w:rPr>
        <w:t>注：</w:t>
      </w:r>
    </w:p>
    <w:p>
      <w:pPr>
        <w:numPr>
          <w:ilvl w:val="0"/>
          <w:numId w:val="28"/>
        </w:numPr>
        <w:ind w:firstLine="420" w:firstLineChars="200"/>
        <w:jc w:val="left"/>
        <w:rPr>
          <w:rFonts w:hint="eastAsia" w:ascii="宋体" w:hAnsi="宋体"/>
          <w:szCs w:val="21"/>
          <w:lang w:val="zh-CN"/>
        </w:rPr>
      </w:pPr>
      <w:r>
        <w:rPr>
          <w:rFonts w:hint="eastAsia" w:ascii="宋体" w:hAnsi="宋体"/>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pPr>
        <w:numPr>
          <w:ilvl w:val="0"/>
          <w:numId w:val="28"/>
        </w:numPr>
        <w:ind w:firstLine="420" w:firstLineChars="200"/>
        <w:jc w:val="left"/>
        <w:rPr>
          <w:rFonts w:hint="eastAsia" w:ascii="宋体" w:hAnsi="宋体"/>
          <w:szCs w:val="21"/>
          <w:lang w:val="zh-CN"/>
        </w:rPr>
      </w:pPr>
      <w:r>
        <w:rPr>
          <w:rFonts w:hint="eastAsia" w:ascii="宋体" w:hAnsi="宋体"/>
          <w:szCs w:val="21"/>
          <w:lang w:val="zh-CN"/>
        </w:rPr>
        <w:t>每一项货物或服务仅接受一个价格，投标文件应对《</w:t>
      </w:r>
      <w:bookmarkStart w:id="109" w:name="OLE_LINK15"/>
      <w:r>
        <w:rPr>
          <w:rFonts w:hint="eastAsia" w:ascii="宋体" w:hAnsi="宋体"/>
          <w:szCs w:val="21"/>
          <w:lang w:val="zh-CN"/>
        </w:rPr>
        <w:t>开标一览表</w:t>
      </w:r>
      <w:bookmarkEnd w:id="109"/>
      <w:r>
        <w:rPr>
          <w:rFonts w:hint="eastAsia" w:ascii="宋体" w:hAnsi="宋体"/>
          <w:szCs w:val="21"/>
          <w:lang w:val="zh-CN"/>
        </w:rPr>
        <w:t>》中的全部货物或服务进行投标，只投其中部分货物或服务者，投标无效；</w:t>
      </w:r>
    </w:p>
    <w:p>
      <w:pPr>
        <w:numPr>
          <w:ilvl w:val="0"/>
          <w:numId w:val="28"/>
        </w:numPr>
        <w:ind w:firstLine="420" w:firstLineChars="200"/>
        <w:jc w:val="left"/>
        <w:rPr>
          <w:rFonts w:hint="eastAsia" w:ascii="宋体" w:hAnsi="宋体"/>
          <w:szCs w:val="21"/>
          <w:lang w:val="zh-CN"/>
        </w:rPr>
      </w:pPr>
      <w:r>
        <w:rPr>
          <w:rFonts w:hint="eastAsia" w:ascii="宋体" w:hAnsi="宋体"/>
          <w:szCs w:val="21"/>
          <w:lang w:val="zh-CN"/>
        </w:rPr>
        <w:t>投标人一旦中标后，如因市场变化、政策性调整等因素导致投标成本的变化，投标报价将不会得到调整。</w:t>
      </w:r>
    </w:p>
    <w:p>
      <w:pPr>
        <w:numPr>
          <w:ilvl w:val="0"/>
          <w:numId w:val="28"/>
        </w:numPr>
        <w:jc w:val="left"/>
        <w:rPr>
          <w:rFonts w:hint="eastAsia"/>
        </w:rPr>
      </w:pPr>
      <w:r>
        <w:rPr>
          <w:rFonts w:hint="eastAsia"/>
        </w:rPr>
        <w:t>招标文件中所列数量为工程的规划设计数量，仅作招标参考，</w:t>
      </w:r>
      <w:r>
        <w:rPr>
          <w:rFonts w:hint="eastAsia" w:hAnsi="宋体" w:cs="宋体"/>
          <w:szCs w:val="22"/>
        </w:rPr>
        <w:t>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最终结算以单价为准。</w:t>
      </w:r>
    </w:p>
    <w:p>
      <w:pPr>
        <w:ind w:left="420"/>
        <w:jc w:val="left"/>
        <w:rPr>
          <w:rFonts w:hint="eastAsia" w:ascii="宋体" w:hAnsi="宋体"/>
          <w:szCs w:val="21"/>
          <w:lang w:val="zh-CN"/>
        </w:rPr>
      </w:pPr>
    </w:p>
    <w:p>
      <w:pPr>
        <w:ind w:left="420"/>
        <w:jc w:val="left"/>
        <w:rPr>
          <w:rFonts w:hint="eastAsia" w:ascii="宋体" w:hAnsi="宋体"/>
          <w:szCs w:val="21"/>
          <w:lang w:val="zh-CN"/>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pStyle w:val="2"/>
        <w:ind w:firstLine="210"/>
        <w:rPr>
          <w:rFonts w:hint="eastAsia"/>
        </w:rPr>
      </w:pPr>
    </w:p>
    <w:p>
      <w:pPr>
        <w:jc w:val="left"/>
        <w:rPr>
          <w:rFonts w:hint="eastAsia" w:ascii="宋体" w:hAnsi="宋体"/>
          <w:szCs w:val="21"/>
          <w:lang w:val="zh-CN"/>
        </w:rPr>
      </w:pPr>
    </w:p>
    <w:p>
      <w:pPr>
        <w:rPr>
          <w:rFonts w:ascii="黑体" w:hAnsi="宋体" w:eastAsia="黑体"/>
          <w:bCs/>
          <w:sz w:val="28"/>
          <w:szCs w:val="28"/>
        </w:rPr>
      </w:pPr>
      <w:bookmarkStart w:id="110" w:name="OLE_LINK151"/>
      <w:bookmarkStart w:id="111" w:name="_Toc8000"/>
      <w:r>
        <w:rPr>
          <w:rFonts w:hint="eastAsia" w:ascii="黑体" w:hAnsi="宋体" w:eastAsia="黑体"/>
          <w:bCs/>
          <w:sz w:val="28"/>
          <w:szCs w:val="28"/>
        </w:rPr>
        <w:t>（三）资格证明文件</w:t>
      </w:r>
      <w:bookmarkEnd w:id="110"/>
    </w:p>
    <w:p>
      <w:pPr>
        <w:ind w:firstLine="480" w:firstLineChars="200"/>
        <w:rPr>
          <w:rFonts w:ascii="黑体" w:eastAsia="黑体"/>
          <w:bCs/>
          <w:sz w:val="36"/>
        </w:rPr>
      </w:pPr>
      <w:r>
        <w:rPr>
          <w:rFonts w:hint="eastAsia" w:ascii="黑体" w:hAnsi="宋体" w:eastAsia="黑体"/>
          <w:bCs/>
          <w:sz w:val="24"/>
          <w:szCs w:val="24"/>
        </w:rPr>
        <w:t>1、关于资格的声明函（格式）：</w:t>
      </w:r>
      <w:bookmarkEnd w:id="111"/>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t>YXGYJT202110011</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lang w:val="zh-CN"/>
        </w:rPr>
        <w:t>宜兴水务集团有限公司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t>YXGYJT202110011</w:t>
      </w:r>
      <w:r>
        <w:rPr>
          <w:rFonts w:hint="eastAsia" w:ascii="宋体"/>
          <w:bCs/>
          <w:color w:val="FF0000"/>
          <w:sz w:val="24"/>
          <w:szCs w:val="24"/>
        </w:rPr>
        <w:t xml:space="preserve">  </w:t>
      </w:r>
      <w:r>
        <w:rPr>
          <w:rFonts w:hint="eastAsia" w:ascii="宋体" w:hAnsi="宋体"/>
          <w:sz w:val="24"/>
          <w:szCs w:val="21"/>
        </w:rPr>
        <w:t xml:space="preserve">   </w:t>
      </w:r>
      <w:r>
        <w:rPr>
          <w:rFonts w:hint="eastAsia" w:ascii="宋体" w:hAnsi="宋体"/>
          <w:bCs/>
          <w:sz w:val="24"/>
          <w:szCs w:val="24"/>
        </w:rPr>
        <w:t>）采购活动前三年内，在经营活动中没有重大违法记录，且具备履行合同所必需的设备和专业技术能力。我公司（单位）愿针对本次项目进行投标，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t>YXGYJT202110011</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lang w:val="zh-CN"/>
        </w:rPr>
        <w:t>宜兴水务集团有限公司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90"/>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3、资格性证明材料复印件：</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t>YXGYJT202110011</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spacing w:line="360" w:lineRule="auto"/>
        <w:ind w:left="506"/>
        <w:rPr>
          <w:rFonts w:ascii="宋体" w:hAnsi="宋体"/>
          <w:bCs/>
          <w:sz w:val="24"/>
          <w:szCs w:val="24"/>
          <w:lang w:val="zh-CN"/>
        </w:rPr>
      </w:pPr>
      <w:r>
        <w:rPr>
          <w:rFonts w:hint="eastAsia" w:ascii="宋体" w:hAnsi="宋体"/>
          <w:bCs/>
          <w:sz w:val="24"/>
          <w:szCs w:val="24"/>
          <w:lang w:val="zh-CN"/>
        </w:rPr>
        <w:t>①关于资格的声明函</w:t>
      </w:r>
      <w:r>
        <w:rPr>
          <w:rFonts w:hint="eastAsia" w:ascii="宋体" w:hAnsi="宋体"/>
          <w:bCs/>
          <w:sz w:val="24"/>
          <w:szCs w:val="24"/>
        </w:rPr>
        <w:t>（附法定代表人身份证复印件（正反两面））；</w:t>
      </w:r>
    </w:p>
    <w:p>
      <w:pPr>
        <w:tabs>
          <w:tab w:val="left" w:pos="0"/>
          <w:tab w:val="left" w:pos="255"/>
        </w:tabs>
        <w:spacing w:line="360" w:lineRule="auto"/>
        <w:ind w:left="506"/>
        <w:rPr>
          <w:rFonts w:ascii="宋体" w:hAnsi="宋体"/>
          <w:bCs/>
          <w:sz w:val="24"/>
          <w:szCs w:val="24"/>
          <w:lang w:val="zh-CN"/>
        </w:rPr>
      </w:pPr>
      <w:r>
        <w:rPr>
          <w:rFonts w:hint="eastAsia" w:ascii="宋体" w:hAnsi="宋体"/>
          <w:bCs/>
          <w:sz w:val="24"/>
          <w:szCs w:val="24"/>
        </w:rPr>
        <w:t>②投标人法定代表人授权委托书原件及被授权代表的身份证复印件（法定代表人亲自参加的除外）；</w:t>
      </w:r>
    </w:p>
    <w:p>
      <w:pPr>
        <w:tabs>
          <w:tab w:val="left" w:pos="0"/>
          <w:tab w:val="left" w:pos="255"/>
        </w:tabs>
        <w:spacing w:line="360" w:lineRule="auto"/>
        <w:ind w:left="506"/>
        <w:rPr>
          <w:rFonts w:ascii="宋体" w:hAnsi="宋体"/>
          <w:bCs/>
          <w:sz w:val="24"/>
          <w:szCs w:val="24"/>
          <w:lang w:val="zh-CN"/>
        </w:rPr>
      </w:pPr>
      <w:r>
        <w:rPr>
          <w:rFonts w:hint="eastAsia" w:ascii="宋体" w:hAnsi="宋体"/>
          <w:bCs/>
          <w:sz w:val="24"/>
          <w:szCs w:val="24"/>
          <w:lang w:val="zh-CN"/>
        </w:rPr>
        <w:t>③投标人具有独立承担民事责任能力的供应商营业执照或法人（登记）证书；</w:t>
      </w:r>
    </w:p>
    <w:p>
      <w:pPr>
        <w:tabs>
          <w:tab w:val="left" w:pos="420"/>
          <w:tab w:val="left" w:pos="945"/>
          <w:tab w:val="left" w:pos="1155"/>
        </w:tabs>
        <w:spacing w:line="360" w:lineRule="auto"/>
        <w:ind w:left="506"/>
        <w:rPr>
          <w:rFonts w:ascii="宋体" w:hAnsi="宋体"/>
          <w:sz w:val="24"/>
          <w:szCs w:val="24"/>
        </w:rPr>
      </w:pPr>
      <w:r>
        <w:rPr>
          <w:rFonts w:hint="eastAsia" w:ascii="宋体" w:hAnsi="宋体"/>
          <w:sz w:val="24"/>
          <w:szCs w:val="24"/>
        </w:rPr>
        <w:t>④投标人依法缴纳近十二个月中任意一个月份税收的相关材料（提供相关主管部门证明或银行代扣证明）；</w:t>
      </w:r>
    </w:p>
    <w:p>
      <w:pPr>
        <w:tabs>
          <w:tab w:val="left" w:pos="420"/>
          <w:tab w:val="left" w:pos="945"/>
          <w:tab w:val="left" w:pos="1155"/>
        </w:tabs>
        <w:spacing w:line="360" w:lineRule="auto"/>
        <w:ind w:left="506"/>
        <w:rPr>
          <w:rFonts w:hint="eastAsia" w:ascii="宋体" w:hAnsi="宋体" w:cs="宋体"/>
          <w:sz w:val="24"/>
          <w:szCs w:val="24"/>
        </w:rPr>
      </w:pPr>
      <w:r>
        <w:rPr>
          <w:rFonts w:hint="eastAsia" w:ascii="宋体" w:hAnsi="宋体"/>
          <w:sz w:val="24"/>
          <w:szCs w:val="24"/>
        </w:rPr>
        <w:t>⑤投标人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w:t>
      </w:r>
    </w:p>
    <w:p>
      <w:pPr>
        <w:pStyle w:val="2"/>
        <w:ind w:firstLine="480" w:firstLineChars="200"/>
        <w:rPr>
          <w:rFonts w:hint="eastAsia" w:ascii="宋体" w:hAnsi="宋体"/>
          <w:color w:val="000000"/>
          <w:lang w:eastAsia="zh-CN"/>
        </w:rPr>
      </w:pPr>
      <w:r>
        <w:rPr>
          <w:rFonts w:hint="eastAsia"/>
          <w:sz w:val="24"/>
          <w:szCs w:val="24"/>
          <w:lang w:val="en-US" w:eastAsia="zh-CN"/>
        </w:rPr>
        <w:t>⑥投标人</w:t>
      </w:r>
      <w:r>
        <w:rPr>
          <w:rFonts w:hint="eastAsia" w:ascii="宋体" w:hAnsi="宋体"/>
          <w:color w:val="000000"/>
          <w:sz w:val="24"/>
          <w:szCs w:val="24"/>
        </w:rPr>
        <w:t>ISO9001 质量管理体系认证、ISO14001 环境管理体系认证、</w:t>
      </w:r>
      <w:r>
        <w:rPr>
          <w:rFonts w:ascii="宋体" w:hAnsi="宋体"/>
          <w:color w:val="000000"/>
          <w:sz w:val="24"/>
          <w:szCs w:val="24"/>
        </w:rPr>
        <w:t>ISO45001</w:t>
      </w:r>
      <w:r>
        <w:rPr>
          <w:rFonts w:hint="eastAsia" w:ascii="宋体" w:hAnsi="宋体"/>
          <w:color w:val="000000"/>
          <w:sz w:val="24"/>
          <w:szCs w:val="24"/>
        </w:rPr>
        <w:t>职业健康安全管理体系认证证书</w:t>
      </w:r>
      <w:r>
        <w:rPr>
          <w:rFonts w:hint="eastAsia" w:ascii="宋体" w:hAnsi="宋体"/>
          <w:color w:val="000000"/>
        </w:rPr>
        <w:t>（清晰扫描件）</w:t>
      </w:r>
    </w:p>
    <w:p>
      <w:pPr>
        <w:pStyle w:val="2"/>
        <w:ind w:firstLine="525" w:firstLineChars="250"/>
        <w:rPr>
          <w:rFonts w:hint="eastAsia"/>
          <w:sz w:val="24"/>
          <w:szCs w:val="24"/>
          <w:lang w:val="en-US" w:eastAsia="zh-CN"/>
        </w:rPr>
      </w:pPr>
      <w:r>
        <w:rPr>
          <w:rFonts w:hint="eastAsia" w:ascii="宋体" w:hAnsi="宋体"/>
          <w:color w:val="000000"/>
          <w:lang w:eastAsia="zh-CN"/>
        </w:rPr>
        <w:t>⑦</w:t>
      </w:r>
      <w:r>
        <w:rPr>
          <w:rFonts w:hint="eastAsia"/>
          <w:sz w:val="24"/>
          <w:szCs w:val="24"/>
        </w:rPr>
        <w:t>投标产品清晰彩照、产品参数说明书等相关资料</w:t>
      </w:r>
    </w:p>
    <w:p>
      <w:pPr>
        <w:pStyle w:val="2"/>
        <w:ind w:firstLine="480" w:firstLineChars="200"/>
        <w:rPr>
          <w:rFonts w:hint="eastAsia"/>
          <w:sz w:val="24"/>
          <w:szCs w:val="24"/>
          <w:lang w:val="en-US" w:eastAsia="zh-CN"/>
        </w:rPr>
      </w:pPr>
    </w:p>
    <w:p>
      <w:pPr>
        <w:pStyle w:val="2"/>
        <w:ind w:firstLine="240"/>
        <w:rPr>
          <w:rFonts w:ascii="宋体" w:hAnsi="宋体"/>
          <w:sz w:val="24"/>
          <w:szCs w:val="22"/>
          <w:lang w:val="en-US"/>
        </w:rPr>
      </w:pPr>
    </w:p>
    <w:p>
      <w:pPr>
        <w:pStyle w:val="2"/>
        <w:ind w:firstLine="240"/>
        <w:rPr>
          <w:rFonts w:ascii="宋体" w:hAnsi="宋体"/>
          <w:sz w:val="24"/>
          <w:szCs w:val="22"/>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pStyle w:val="2"/>
        <w:ind w:firstLine="210"/>
        <w:rPr>
          <w:rFonts w:hint="eastAsia"/>
          <w:lang w:val="zh-CN" w:eastAsia="zh-CN"/>
        </w:rPr>
      </w:pPr>
    </w:p>
    <w:p>
      <w:pPr>
        <w:pStyle w:val="2"/>
        <w:ind w:firstLine="210"/>
        <w:rPr>
          <w:rFonts w:hint="eastAsia"/>
          <w:lang w:val="zh-CN" w:eastAsia="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pStyle w:val="2"/>
        <w:ind w:firstLine="210"/>
        <w:rPr>
          <w:rFonts w:hint="eastAsia"/>
          <w:lang w:val="zh-CN" w:eastAsia="zh-CN"/>
        </w:rPr>
      </w:pPr>
    </w:p>
    <w:p>
      <w:pPr>
        <w:pStyle w:val="2"/>
        <w:ind w:firstLine="210"/>
        <w:rPr>
          <w:rFonts w:hint="eastAsia"/>
          <w:lang w:val="zh-CN" w:eastAsia="zh-CN"/>
        </w:rPr>
      </w:pPr>
    </w:p>
    <w:p>
      <w:pPr>
        <w:rPr>
          <w:rFonts w:hint="eastAsia" w:ascii="宋体" w:hAnsi="宋体"/>
          <w:b/>
          <w:bCs/>
          <w:sz w:val="36"/>
          <w:szCs w:val="36"/>
        </w:rPr>
      </w:pPr>
    </w:p>
    <w:p>
      <w:pPr>
        <w:pStyle w:val="2"/>
        <w:ind w:firstLine="210"/>
        <w:rPr>
          <w:rFonts w:hint="eastAsia"/>
        </w:rPr>
      </w:pPr>
    </w:p>
    <w:p>
      <w:pPr>
        <w:rPr>
          <w:rFonts w:ascii="黑体" w:hAnsi="宋体" w:eastAsia="黑体"/>
          <w:bCs/>
          <w:sz w:val="24"/>
          <w:szCs w:val="24"/>
        </w:rPr>
      </w:pPr>
      <w:bookmarkStart w:id="112" w:name="OLE_LINK11"/>
      <w:r>
        <w:rPr>
          <w:rFonts w:hint="eastAsia" w:ascii="黑体" w:hAnsi="宋体" w:eastAsia="黑体"/>
          <w:bCs/>
          <w:sz w:val="24"/>
          <w:szCs w:val="24"/>
        </w:rPr>
        <w:t>（四）</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hint="eastAsia" w:ascii="宋体" w:hAnsi="宋体"/>
          <w:sz w:val="24"/>
          <w:szCs w:val="21"/>
          <w:lang w:val="zh-CN"/>
        </w:rPr>
      </w:pPr>
      <w:r>
        <w:rPr>
          <w:rFonts w:hint="eastAsia" w:ascii="宋体" w:hAnsi="宋体"/>
          <w:sz w:val="24"/>
          <w:szCs w:val="21"/>
          <w:lang w:val="zh-CN"/>
        </w:rPr>
        <w:t>投标人名称（盖章）：               项目编号：</w:t>
      </w:r>
      <w:r>
        <w:t>YXGYJT202110011</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12"/>
    </w:p>
    <w:p>
      <w:pPr>
        <w:tabs>
          <w:tab w:val="left" w:pos="255"/>
        </w:tabs>
        <w:spacing w:line="360" w:lineRule="auto"/>
        <w:jc w:val="left"/>
        <w:rPr>
          <w:rFonts w:ascii="宋体" w:hAnsi="宋体"/>
          <w:sz w:val="24"/>
          <w:szCs w:val="21"/>
        </w:rPr>
      </w:pPr>
    </w:p>
    <w:p>
      <w:pPr>
        <w:rPr>
          <w:rFonts w:hint="eastAsia" w:ascii="宋体" w:hAnsi="宋体"/>
          <w:b/>
          <w:bCs/>
          <w:sz w:val="36"/>
          <w:szCs w:val="36"/>
        </w:rPr>
      </w:pPr>
    </w:p>
    <w:p>
      <w:pPr>
        <w:pStyle w:val="2"/>
        <w:ind w:firstLine="210"/>
        <w:rPr>
          <w:rFonts w:hint="eastAsia"/>
        </w:rPr>
      </w:pPr>
    </w:p>
    <w:p>
      <w:pPr>
        <w:pStyle w:val="2"/>
        <w:ind w:firstLine="210"/>
        <w:rPr>
          <w:rFonts w:hint="eastAsia"/>
        </w:rPr>
      </w:pPr>
    </w:p>
    <w:p>
      <w:pPr>
        <w:tabs>
          <w:tab w:val="left" w:pos="255"/>
        </w:tabs>
        <w:spacing w:before="156" w:beforeLines="50" w:after="156" w:afterLines="50" w:line="360" w:lineRule="auto"/>
        <w:jc w:val="center"/>
        <w:rPr>
          <w:rFonts w:hint="eastAsia" w:ascii="黑体" w:hAnsi="黑体" w:eastAsia="黑体"/>
          <w:sz w:val="28"/>
          <w:szCs w:val="21"/>
          <w:lang w:val="zh-CN"/>
        </w:rPr>
      </w:pPr>
      <w:r>
        <w:rPr>
          <w:rFonts w:hint="eastAsia" w:ascii="黑体" w:hAnsi="黑体" w:eastAsia="黑体"/>
          <w:sz w:val="28"/>
          <w:szCs w:val="21"/>
          <w:lang w:val="zh-CN"/>
        </w:rPr>
        <w:t>材料设备品牌承诺表</w:t>
      </w:r>
    </w:p>
    <w:p>
      <w:pPr>
        <w:tabs>
          <w:tab w:val="left" w:pos="255"/>
        </w:tabs>
        <w:spacing w:before="156" w:beforeLines="50" w:after="156"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t>YXGYJT202110011</w:t>
      </w:r>
    </w:p>
    <w:tbl>
      <w:tblPr>
        <w:tblStyle w:val="7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3402"/>
        <w:gridCol w:w="1375"/>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Cs w:val="21"/>
              </w:rPr>
            </w:pPr>
            <w:r>
              <w:rPr>
                <w:rFonts w:hint="eastAsia" w:ascii="宋体" w:hAnsi="宋体"/>
                <w:bCs/>
                <w:szCs w:val="21"/>
              </w:rPr>
              <w:t>序号</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Cs w:val="21"/>
              </w:rPr>
            </w:pPr>
            <w:r>
              <w:rPr>
                <w:rFonts w:hint="eastAsia" w:ascii="宋体" w:hAnsi="宋体"/>
                <w:bCs/>
                <w:szCs w:val="21"/>
              </w:rPr>
              <w:t>材料设备名称</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Cs w:val="21"/>
              </w:rPr>
            </w:pPr>
            <w:r>
              <w:rPr>
                <w:rFonts w:hint="eastAsia" w:ascii="宋体" w:hAnsi="宋体"/>
                <w:bCs/>
                <w:szCs w:val="21"/>
              </w:rPr>
              <w:t>参照（或相当于）品牌（型号）</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Cs w:val="21"/>
              </w:rPr>
            </w:pPr>
            <w:r>
              <w:rPr>
                <w:rFonts w:hint="eastAsia" w:ascii="宋体" w:hAnsi="宋体"/>
                <w:bCs/>
                <w:szCs w:val="21"/>
              </w:rPr>
              <w:t>投标人承诺</w:t>
            </w:r>
          </w:p>
          <w:p>
            <w:pPr>
              <w:pStyle w:val="520"/>
              <w:spacing w:line="320" w:lineRule="exact"/>
              <w:jc w:val="center"/>
              <w:rPr>
                <w:rFonts w:ascii="宋体" w:hAnsi="宋体"/>
                <w:bCs/>
                <w:szCs w:val="21"/>
              </w:rPr>
            </w:pPr>
            <w:r>
              <w:rPr>
                <w:rFonts w:hint="eastAsia" w:ascii="宋体" w:hAnsi="宋体"/>
                <w:bCs/>
                <w:szCs w:val="21"/>
              </w:rPr>
              <w:t>品牌(型号)</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Cs w:val="21"/>
              </w:rPr>
            </w:pPr>
            <w:r>
              <w:rPr>
                <w:rFonts w:hint="eastAsia" w:ascii="宋体" w:hAnsi="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9"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ascii="宋体" w:hAnsi="宋体" w:cs="宋体"/>
                <w:sz w:val="24"/>
              </w:rPr>
            </w:pPr>
            <w:r>
              <w:rPr>
                <w:rFonts w:hint="eastAsia"/>
              </w:rPr>
              <w:t>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Cs w:val="21"/>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hint="eastAsia" w:ascii="宋体" w:hAnsi="宋体" w:cs="宋体"/>
                <w:sz w:val="24"/>
              </w:rPr>
            </w:pPr>
            <w:r>
              <w:rPr>
                <w:rFonts w:hint="eastAsia" w:ascii="宋体" w:hAnsi="宋体" w:cs="宋体"/>
                <w:sz w:val="24"/>
              </w:rPr>
              <w:t>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Cs w:val="21"/>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hint="eastAsia" w:ascii="宋体" w:hAnsi="宋体" w:cs="宋体"/>
                <w:sz w:val="24"/>
              </w:rPr>
            </w:pPr>
            <w:r>
              <w:rPr>
                <w:rFonts w:hint="eastAsia" w:ascii="宋体" w:hAnsi="宋体" w:cs="宋体"/>
                <w:sz w:val="24"/>
              </w:rPr>
              <w:t>3</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hint="eastAsia" w:ascii="宋体" w:hAnsi="宋体"/>
                <w:bCs/>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hint="eastAsia" w:ascii="宋体" w:hAnsi="宋体"/>
                <w:bCs/>
                <w:szCs w:val="21"/>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hint="eastAsia" w:ascii="宋体" w:hAnsi="宋体" w:cs="宋体"/>
                <w:sz w:val="24"/>
              </w:rPr>
            </w:pPr>
            <w:r>
              <w:rPr>
                <w:rFonts w:hint="eastAsia" w:ascii="宋体" w:hAnsi="宋体" w:cs="宋体"/>
                <w:sz w:val="24"/>
              </w:rPr>
              <w:t>4</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hint="eastAsia" w:ascii="宋体" w:hAnsi="宋体"/>
                <w:bCs/>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hint="eastAsia" w:ascii="宋体" w:hAnsi="宋体"/>
                <w:bCs/>
                <w:szCs w:val="21"/>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hint="eastAsia" w:ascii="宋体" w:hAnsi="宋体" w:cs="宋体"/>
                <w:sz w:val="24"/>
              </w:rPr>
            </w:pPr>
            <w:r>
              <w:rPr>
                <w:rFonts w:hint="eastAsia" w:ascii="宋体" w:hAnsi="宋体" w:cs="宋体"/>
                <w:sz w:val="24"/>
              </w:rPr>
              <w:t>5</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hint="eastAsia" w:ascii="宋体" w:hAnsi="宋体"/>
                <w:bCs/>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Cs w:val="21"/>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hint="eastAsia" w:ascii="宋体" w:hAnsi="宋体" w:cs="宋体"/>
                <w:sz w:val="24"/>
              </w:rPr>
            </w:pPr>
            <w:r>
              <w:rPr>
                <w:rFonts w:hint="eastAsia" w:ascii="宋体" w:hAnsi="宋体" w:cs="宋体"/>
                <w:sz w:val="24"/>
              </w:rPr>
              <w:t>6</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hint="eastAsia" w:ascii="宋体" w:hAnsi="宋体"/>
                <w:bCs/>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Cs w:val="21"/>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hint="eastAsia" w:ascii="宋体" w:hAnsi="宋体" w:cs="宋体"/>
                <w:sz w:val="24"/>
              </w:rPr>
            </w:pPr>
            <w:r>
              <w:rPr>
                <w:rFonts w:hint="eastAsia" w:ascii="宋体" w:hAnsi="宋体" w:cs="宋体"/>
                <w:sz w:val="24"/>
              </w:rPr>
              <w:t>7</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hint="eastAsia" w:ascii="宋体" w:hAnsi="宋体"/>
                <w:bCs/>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ascii="宋体" w:hAnsi="宋体"/>
                <w:bCs/>
                <w:szCs w:val="21"/>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hint="eastAsia" w:ascii="宋体" w:hAnsi="宋体"/>
                <w:bCs/>
                <w:szCs w:val="21"/>
              </w:rPr>
            </w:pPr>
            <w:r>
              <w:rPr>
                <w:rFonts w:hint="eastAsia" w:ascii="宋体" w:hAnsi="宋体"/>
                <w:bCs/>
                <w:szCs w:val="21"/>
              </w:rPr>
              <w:t>8</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hint="eastAsia" w:ascii="宋体" w:hAnsi="宋体"/>
                <w:bCs/>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hint="eastAsia" w:ascii="宋体" w:hAnsi="宋体"/>
                <w:bCs/>
                <w:szCs w:val="21"/>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hint="eastAsia" w:ascii="宋体" w:hAnsi="宋体"/>
                <w:bCs/>
                <w:szCs w:val="21"/>
              </w:rPr>
            </w:pPr>
            <w:r>
              <w:rPr>
                <w:rFonts w:hint="eastAsia" w:ascii="宋体" w:hAnsi="宋体"/>
                <w:bCs/>
                <w:szCs w:val="21"/>
              </w:rPr>
              <w:t>9</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hint="eastAsia" w:ascii="宋体" w:hAnsi="宋体"/>
                <w:bCs/>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hint="eastAsia" w:ascii="宋体" w:hAnsi="宋体"/>
                <w:bCs/>
                <w:szCs w:val="21"/>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jc w:val="center"/>
              <w:rPr>
                <w:rFonts w:hint="eastAsia" w:ascii="宋体" w:hAnsi="宋体"/>
                <w:bCs/>
                <w:szCs w:val="21"/>
              </w:rPr>
            </w:pPr>
            <w:r>
              <w:rPr>
                <w:rFonts w:hint="eastAsia" w:ascii="宋体" w:hAnsi="宋体"/>
                <w:bCs/>
                <w:szCs w:val="21"/>
              </w:rPr>
              <w:t>10</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Cs/>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楷体"/>
                <w:sz w:val="24"/>
                <w:szCs w:val="24"/>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pPr>
              <w:pStyle w:val="520"/>
              <w:jc w:val="center"/>
              <w:rPr>
                <w:rFonts w:ascii="宋体" w:hAnsi="宋体" w:cs="宋体"/>
                <w:sz w:val="24"/>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pStyle w:val="520"/>
              <w:spacing w:line="320" w:lineRule="exact"/>
              <w:rPr>
                <w:rFonts w:ascii="宋体" w:hAnsi="宋体"/>
                <w:bCs/>
                <w:szCs w:val="21"/>
              </w:rPr>
            </w:pPr>
          </w:p>
        </w:tc>
      </w:tr>
    </w:tbl>
    <w:p>
      <w:pPr>
        <w:tabs>
          <w:tab w:val="left" w:pos="255"/>
        </w:tabs>
        <w:spacing w:line="360" w:lineRule="auto"/>
        <w:ind w:firstLine="600" w:firstLineChars="250"/>
        <w:jc w:val="left"/>
        <w:rPr>
          <w:rFonts w:hint="eastAsia" w:ascii="黑体" w:hAnsi="宋体" w:eastAsia="黑体"/>
          <w:bCs/>
          <w:sz w:val="24"/>
          <w:szCs w:val="24"/>
        </w:rPr>
      </w:pPr>
    </w:p>
    <w:p>
      <w:pPr>
        <w:rPr>
          <w:rFonts w:ascii="宋体" w:hAnsi="宋体"/>
          <w:color w:val="000000"/>
          <w:szCs w:val="21"/>
        </w:rPr>
      </w:pPr>
      <w:r>
        <w:rPr>
          <w:rFonts w:hint="eastAsia" w:ascii="宋体" w:hAnsi="宋体"/>
          <w:color w:val="000000"/>
          <w:szCs w:val="21"/>
        </w:rPr>
        <w:t>注：</w:t>
      </w:r>
      <w:bookmarkStart w:id="113" w:name="_Toc448822646"/>
      <w:bookmarkStart w:id="114" w:name="_Toc448681959"/>
      <w:r>
        <w:rPr>
          <w:rFonts w:hint="eastAsia" w:ascii="宋体" w:hAnsi="宋体"/>
          <w:color w:val="000000"/>
          <w:szCs w:val="21"/>
        </w:rPr>
        <w:t>投标人应在以上参照品牌产品中选择其中一个或多个，并在以上承诺表中予以承诺。参照品牌列明型号系列的，承诺时也必须明确到型号系列。除以上明确的品牌外，欢迎其他在品牌知名度、信誉度、质量、性能、技术指标等方面不低于上述品牌的产品参加，但必须在招标答疑截止时间前，以书面形式（并加盖公章）向</w:t>
      </w:r>
      <w:r>
        <w:rPr>
          <w:rFonts w:hint="eastAsia" w:ascii="宋体" w:hAnsi="宋体" w:cs="宋体"/>
          <w:kern w:val="0"/>
          <w:sz w:val="24"/>
          <w:szCs w:val="22"/>
        </w:rPr>
        <w:t>采购</w:t>
      </w:r>
      <w:r>
        <w:rPr>
          <w:rFonts w:hint="eastAsia" w:ascii="宋体" w:hAnsi="宋体"/>
          <w:color w:val="000000"/>
          <w:szCs w:val="21"/>
        </w:rPr>
        <w:t>人提出，并提供相应的证明材料，</w:t>
      </w:r>
      <w:r>
        <w:rPr>
          <w:rFonts w:hint="eastAsia" w:ascii="宋体" w:hAnsi="宋体" w:cs="宋体"/>
          <w:kern w:val="0"/>
          <w:sz w:val="24"/>
          <w:szCs w:val="22"/>
        </w:rPr>
        <w:t>采购</w:t>
      </w:r>
      <w:r>
        <w:rPr>
          <w:rFonts w:hint="eastAsia" w:ascii="宋体" w:hAnsi="宋体"/>
          <w:color w:val="000000"/>
          <w:szCs w:val="21"/>
        </w:rPr>
        <w:t>人认为合理的，将以招标文件答疑方式告知所有投标人予以增加。投标人必须按上述要求在以上承诺表中进行承诺，否则视为未响应招标文件的实质性要求。</w:t>
      </w:r>
      <w:bookmarkEnd w:id="113"/>
      <w:bookmarkEnd w:id="114"/>
    </w:p>
    <w:p>
      <w:pPr>
        <w:rPr>
          <w:rFonts w:ascii="宋体" w:hAnsi="宋体"/>
          <w:color w:val="000000"/>
          <w:szCs w:val="21"/>
        </w:rPr>
      </w:pPr>
    </w:p>
    <w:p>
      <w:pPr>
        <w:jc w:val="center"/>
        <w:rPr>
          <w:rFonts w:hint="eastAsia" w:ascii="黑体" w:hAnsi="宋体" w:eastAsia="黑体"/>
          <w:sz w:val="32"/>
          <w:szCs w:val="32"/>
        </w:rPr>
      </w:pPr>
      <w:r>
        <w:rPr>
          <w:rFonts w:hint="eastAsia" w:ascii="宋体" w:hAnsi="宋体"/>
          <w:sz w:val="24"/>
          <w:szCs w:val="21"/>
          <w:lang w:val="zh-CN"/>
        </w:rPr>
        <w:t>投标人签名（盖章）：                               日期：</w:t>
      </w:r>
    </w:p>
    <w:p>
      <w:pPr>
        <w:rPr>
          <w:rFonts w:ascii="宋体" w:hAnsi="宋体"/>
          <w:b/>
          <w:bCs/>
          <w:sz w:val="36"/>
          <w:szCs w:val="36"/>
        </w:rPr>
      </w:pPr>
    </w:p>
    <w:p>
      <w:pPr>
        <w:pStyle w:val="2"/>
        <w:ind w:firstLine="210"/>
        <w:rPr>
          <w:rFonts w:hint="eastAsia"/>
          <w:lang w:val="en-US" w:eastAsia="zh-CN"/>
        </w:rPr>
      </w:pPr>
    </w:p>
    <w:p>
      <w:pPr>
        <w:spacing w:line="400" w:lineRule="exact"/>
        <w:jc w:val="center"/>
        <w:rPr>
          <w:rFonts w:hint="eastAsia" w:ascii="宋体" w:hAnsi="宋体"/>
          <w:b/>
          <w:bCs/>
          <w:sz w:val="36"/>
          <w:szCs w:val="36"/>
        </w:rPr>
      </w:pPr>
      <w:r>
        <w:rPr>
          <w:rFonts w:hint="eastAsia" w:ascii="宋体" w:hAnsi="宋体"/>
          <w:b/>
          <w:bCs/>
          <w:sz w:val="36"/>
          <w:szCs w:val="36"/>
        </w:rPr>
        <w:t>宜兴水务集团有限公司移动式静音型发电机组采购</w:t>
      </w:r>
    </w:p>
    <w:p>
      <w:pPr>
        <w:spacing w:line="400" w:lineRule="exact"/>
        <w:jc w:val="center"/>
        <w:rPr>
          <w:rFonts w:hint="eastAsia" w:ascii="宋体" w:hAnsi="宋体"/>
          <w:b/>
          <w:bCs/>
          <w:sz w:val="36"/>
          <w:szCs w:val="36"/>
        </w:rPr>
      </w:pPr>
      <w:r>
        <w:rPr>
          <w:rFonts w:hint="eastAsia" w:ascii="宋体" w:hAnsi="宋体"/>
          <w:b/>
          <w:bCs/>
          <w:sz w:val="36"/>
          <w:szCs w:val="36"/>
        </w:rPr>
        <w:t>招标公告</w:t>
      </w:r>
    </w:p>
    <w:p>
      <w:pPr>
        <w:jc w:val="center"/>
        <w:rPr>
          <w:rFonts w:hint="eastAsia" w:ascii="Helvetica" w:hAnsi="Helvetica" w:cs="Arial"/>
          <w:color w:val="000000"/>
          <w:kern w:val="0"/>
          <w:sz w:val="24"/>
          <w:szCs w:val="24"/>
        </w:rPr>
      </w:pPr>
    </w:p>
    <w:p>
      <w:pPr>
        <w:jc w:val="center"/>
        <w:rPr>
          <w:rFonts w:hint="eastAsia" w:ascii="Helvetica" w:hAnsi="Helvetica" w:cs="Arial"/>
          <w:color w:val="000000"/>
          <w:kern w:val="0"/>
          <w:sz w:val="24"/>
          <w:szCs w:val="24"/>
        </w:rPr>
      </w:pPr>
    </w:p>
    <w:p>
      <w:pPr>
        <w:spacing w:line="400" w:lineRule="exact"/>
        <w:jc w:val="left"/>
        <w:rPr>
          <w:rFonts w:ascii="宋体" w:hAnsi="宋体"/>
          <w:b/>
          <w:bCs/>
          <w:sz w:val="44"/>
          <w:szCs w:val="44"/>
        </w:rPr>
      </w:pPr>
      <w:r>
        <w:rPr>
          <w:rFonts w:hint="eastAsia" w:ascii="仿宋" w:hAnsi="仿宋" w:eastAsia="仿宋" w:cs="仿宋"/>
          <w:sz w:val="28"/>
          <w:szCs w:val="28"/>
        </w:rPr>
        <w:t xml:space="preserve">    因工作需要，现组织宜兴水务集团有限公司对移动式静音型发电机组采购进行招标。现欢迎符合相关条件的供应商参加投标。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ascii="仿宋_GB2312" w:eastAsia="仿宋_GB2312"/>
          <w:sz w:val="28"/>
          <w:szCs w:val="28"/>
        </w:rPr>
      </w:pPr>
      <w:r>
        <w:rPr>
          <w:rFonts w:hint="eastAsia" w:ascii="仿宋_GB2312" w:eastAsia="仿宋_GB2312"/>
          <w:sz w:val="28"/>
          <w:szCs w:val="28"/>
        </w:rPr>
        <w:t>①项目编号：</w:t>
      </w:r>
      <w:r>
        <w:rPr>
          <w:rFonts w:ascii="仿宋_GB2312" w:eastAsia="仿宋_GB2312"/>
          <w:sz w:val="28"/>
          <w:szCs w:val="28"/>
        </w:rPr>
        <w:t>YXGYJT202110011</w:t>
      </w:r>
    </w:p>
    <w:p>
      <w:pPr>
        <w:jc w:val="left"/>
        <w:rPr>
          <w:rFonts w:ascii="宋体" w:hAnsi="宋体"/>
          <w:b/>
          <w:bCs/>
          <w:sz w:val="44"/>
          <w:szCs w:val="44"/>
        </w:rPr>
      </w:pPr>
      <w:r>
        <w:rPr>
          <w:rFonts w:hint="eastAsia" w:ascii="仿宋_GB2312" w:eastAsia="仿宋_GB2312"/>
          <w:sz w:val="28"/>
          <w:szCs w:val="28"/>
        </w:rPr>
        <w:t xml:space="preserve">    ②项目名称：移动式静音型发电机组</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pStyle w:val="290"/>
        <w:rPr>
          <w:rFonts w:hint="eastAsia"/>
        </w:rPr>
      </w:pPr>
      <w:r>
        <w:rPr>
          <w:rFonts w:hint="eastAsia" w:ascii="仿宋_GB2312" w:eastAsia="仿宋_GB2312"/>
          <w:sz w:val="28"/>
          <w:szCs w:val="28"/>
        </w:rPr>
        <w:t xml:space="preserve">    ④本项目预算为：</w:t>
      </w:r>
      <w:r>
        <w:rPr>
          <w:rFonts w:hint="eastAsia" w:ascii="仿宋_GB2312" w:eastAsia="仿宋_GB2312"/>
          <w:color w:val="000000"/>
          <w:kern w:val="2"/>
          <w:sz w:val="28"/>
          <w:szCs w:val="28"/>
          <w:u w:val="none" w:color="auto"/>
        </w:rPr>
        <w:t>45</w:t>
      </w:r>
      <w:r>
        <w:rPr>
          <w:rFonts w:hint="eastAsia" w:ascii="仿宋_GB2312" w:eastAsia="仿宋_GB2312"/>
          <w:kern w:val="2"/>
          <w:sz w:val="28"/>
          <w:szCs w:val="28"/>
          <w:u w:val="none" w:color="auto"/>
        </w:rPr>
        <w:t>万，最低价中标 。</w:t>
      </w:r>
    </w:p>
    <w:p>
      <w:pPr>
        <w:spacing w:line="560" w:lineRule="exact"/>
        <w:rPr>
          <w:rFonts w:hint="eastAsia" w:ascii="仿宋_GB2312" w:eastAsia="仿宋_GB2312"/>
          <w:b/>
          <w:sz w:val="28"/>
          <w:szCs w:val="28"/>
        </w:rPr>
      </w:pPr>
      <w:r>
        <w:rPr>
          <w:rFonts w:hint="eastAsia" w:ascii="仿宋_GB2312" w:eastAsia="仿宋_GB2312"/>
          <w:b/>
          <w:sz w:val="28"/>
          <w:szCs w:val="28"/>
        </w:rPr>
        <w:t xml:space="preserve">    二、投标人资格要求：</w:t>
      </w:r>
    </w:p>
    <w:p>
      <w:pPr>
        <w:spacing w:line="560" w:lineRule="exact"/>
        <w:ind w:firstLine="560" w:firstLineChars="200"/>
        <w:rPr>
          <w:rFonts w:hint="eastAsia" w:ascii="仿宋_GB2312" w:eastAsia="仿宋_GB2312"/>
          <w:kern w:val="0"/>
          <w:sz w:val="28"/>
          <w:szCs w:val="28"/>
          <w:u w:val="none" w:color="000000"/>
        </w:rPr>
      </w:pPr>
      <w:r>
        <w:rPr>
          <w:rFonts w:hint="eastAsia" w:ascii="仿宋_GB2312" w:eastAsia="仿宋_GB2312"/>
          <w:kern w:val="0"/>
          <w:sz w:val="28"/>
          <w:szCs w:val="28"/>
          <w:u w:val="none" w:color="000000"/>
        </w:rPr>
        <w:t>①具有独立承担民事责任的能力，是柴油发电机组设备制造商或制造商 的授权代理商。投标人如为代理商需提供制造商针对本项目的专项授权书原件。制造商与其授权代理商不能同时参与投标，如同时参加只接受制造商投标。；</w:t>
      </w:r>
    </w:p>
    <w:p>
      <w:pPr>
        <w:spacing w:line="560" w:lineRule="exact"/>
        <w:ind w:firstLine="560" w:firstLineChars="200"/>
        <w:rPr>
          <w:rFonts w:hint="eastAsia" w:ascii="仿宋_GB2312" w:eastAsia="仿宋_GB2312"/>
          <w:kern w:val="0"/>
          <w:sz w:val="28"/>
          <w:szCs w:val="28"/>
          <w:u w:val="none" w:color="000000"/>
        </w:rPr>
      </w:pPr>
      <w:r>
        <w:rPr>
          <w:rFonts w:hint="eastAsia" w:ascii="仿宋_GB2312" w:eastAsia="仿宋_GB2312"/>
          <w:kern w:val="0"/>
          <w:sz w:val="28"/>
          <w:szCs w:val="28"/>
          <w:u w:val="none" w:color="000000"/>
        </w:rPr>
        <w:t>②有依法缴纳税收和社会保障资金的良好记录；</w:t>
      </w:r>
    </w:p>
    <w:p>
      <w:pPr>
        <w:spacing w:line="560" w:lineRule="exact"/>
        <w:ind w:firstLine="560" w:firstLineChars="200"/>
        <w:rPr>
          <w:rFonts w:hint="eastAsia" w:ascii="仿宋_GB2312" w:eastAsia="仿宋_GB2312"/>
          <w:kern w:val="0"/>
          <w:sz w:val="28"/>
          <w:szCs w:val="28"/>
          <w:u w:val="none" w:color="000000"/>
        </w:rPr>
      </w:pPr>
      <w:r>
        <w:rPr>
          <w:rFonts w:hint="eastAsia" w:ascii="仿宋_GB2312" w:eastAsia="仿宋_GB2312"/>
          <w:kern w:val="0"/>
          <w:sz w:val="28"/>
          <w:szCs w:val="28"/>
          <w:u w:val="none" w:color="000000"/>
        </w:rPr>
        <w:t>③具有履行合同所必需的设备和专业技术能力；</w:t>
      </w:r>
    </w:p>
    <w:p>
      <w:pPr>
        <w:spacing w:line="560" w:lineRule="exact"/>
        <w:ind w:firstLine="560" w:firstLineChars="200"/>
        <w:rPr>
          <w:rFonts w:hint="eastAsia" w:ascii="仿宋_GB2312" w:eastAsia="仿宋_GB2312"/>
          <w:kern w:val="0"/>
          <w:sz w:val="28"/>
          <w:szCs w:val="28"/>
          <w:u w:val="none" w:color="000000"/>
        </w:rPr>
      </w:pPr>
      <w:r>
        <w:rPr>
          <w:rFonts w:hint="eastAsia" w:ascii="仿宋_GB2312" w:eastAsia="仿宋_GB2312"/>
          <w:kern w:val="0"/>
          <w:sz w:val="28"/>
          <w:szCs w:val="28"/>
          <w:u w:val="none" w:color="000000"/>
        </w:rPr>
        <w:t>④投标人需通过 ISO9001 质量管理体系认证、ISO14001 环境管理体系认证、ISO45001 职业健康安全管理体系认证（清晰扫描件）</w:t>
      </w:r>
    </w:p>
    <w:p>
      <w:pPr>
        <w:spacing w:line="560" w:lineRule="exact"/>
        <w:ind w:firstLine="560" w:firstLineChars="200"/>
        <w:rPr>
          <w:rFonts w:hint="eastAsia" w:ascii="仿宋_GB2312" w:eastAsia="仿宋_GB2312"/>
          <w:kern w:val="0"/>
          <w:sz w:val="28"/>
          <w:szCs w:val="28"/>
          <w:u w:val="none" w:color="000000"/>
        </w:rPr>
      </w:pPr>
      <w:r>
        <w:rPr>
          <w:rFonts w:hint="eastAsia" w:ascii="仿宋_GB2312" w:eastAsia="仿宋_GB2312"/>
          <w:kern w:val="0"/>
          <w:sz w:val="28"/>
          <w:szCs w:val="28"/>
          <w:u w:val="none" w:color="000000"/>
        </w:rPr>
        <w:t>④投标供应商在投标时须提供投标产品清晰彩照、产品参数说明书等相关资料；</w:t>
      </w:r>
    </w:p>
    <w:p>
      <w:pPr>
        <w:spacing w:line="560" w:lineRule="exact"/>
        <w:ind w:firstLine="560" w:firstLineChars="200"/>
        <w:rPr>
          <w:rFonts w:hint="eastAsia" w:ascii="仿宋_GB2312" w:eastAsia="仿宋_GB2312"/>
          <w:kern w:val="0"/>
          <w:sz w:val="28"/>
          <w:szCs w:val="28"/>
          <w:u w:val="none" w:color="000000"/>
        </w:rPr>
      </w:pPr>
      <w:r>
        <w:rPr>
          <w:rFonts w:hint="eastAsia" w:ascii="仿宋_GB2312" w:eastAsia="仿宋_GB2312"/>
          <w:kern w:val="0"/>
          <w:sz w:val="28"/>
          <w:szCs w:val="28"/>
          <w:u w:val="none" w:color="000000"/>
        </w:rPr>
        <w:t>⑤不接受联合体，不接受成交后分包</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三、投标及开标有关信息：</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1、提交投标文件截止及开标时间：2022年1月5日14：00</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3、地点：宜兴市公用产业集团有限公司二楼开标室</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4、其他有关事项：截止期后的投标文件或未按招标文件规定密封的投标文件，恕不接受。</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w:t>
      </w:r>
      <w:r>
        <w:rPr>
          <w:rFonts w:hint="eastAsia" w:ascii="仿宋_GB2312" w:eastAsia="仿宋_GB2312"/>
          <w:sz w:val="28"/>
          <w:szCs w:val="28"/>
        </w:rPr>
        <w:t>2021年12月28日-2021年12月31日。</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wBefore w:w="0" w:type="dxa"/>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_GB2312" w:eastAsia="仿宋_GB2312"/>
                <w:sz w:val="28"/>
                <w:szCs w:val="28"/>
              </w:rPr>
            </w:pPr>
            <w:bookmarkStart w:id="115" w:name="OLE_LINK29"/>
            <w:bookmarkEnd w:id="115"/>
            <w:r>
              <w:rPr>
                <w:rFonts w:hint="eastAsia" w:ascii="仿宋_GB2312" w:eastAsia="仿宋_GB2312"/>
                <w:sz w:val="28"/>
                <w:szCs w:val="28"/>
              </w:rPr>
              <w:t>采购人：宜兴水务集团有限公司</w:t>
            </w:r>
          </w:p>
          <w:p>
            <w:pPr>
              <w:spacing w:line="560" w:lineRule="exact"/>
              <w:rPr>
                <w:rFonts w:ascii="仿宋_GB2312" w:eastAsia="仿宋_GB2312"/>
                <w:sz w:val="28"/>
                <w:szCs w:val="28"/>
              </w:rPr>
            </w:pPr>
            <w:r>
              <w:rPr>
                <w:rFonts w:hint="eastAsia" w:ascii="仿宋_GB2312" w:eastAsia="仿宋_GB2312"/>
                <w:sz w:val="28"/>
                <w:szCs w:val="28"/>
              </w:rPr>
              <w:t>联系人：赵女士、刘先生</w:t>
            </w:r>
          </w:p>
          <w:p>
            <w:pPr>
              <w:spacing w:line="560" w:lineRule="exact"/>
              <w:rPr>
                <w:rFonts w:ascii="仿宋_GB2312" w:eastAsia="仿宋_GB2312"/>
                <w:sz w:val="28"/>
                <w:szCs w:val="28"/>
              </w:rPr>
            </w:pPr>
            <w:r>
              <w:rPr>
                <w:rFonts w:hint="eastAsia" w:ascii="仿宋_GB2312" w:eastAsia="仿宋_GB2312"/>
                <w:sz w:val="28"/>
                <w:szCs w:val="28"/>
              </w:rPr>
              <w:t>联系电话：0510-80718885</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rPr>
          <w:rFonts w:ascii="仿宋_GB2312" w:eastAsia="仿宋_GB2312"/>
          <w:sz w:val="28"/>
          <w:szCs w:val="28"/>
        </w:rPr>
      </w:pPr>
      <w:r>
        <w:rPr>
          <w:rFonts w:hint="eastAsia" w:ascii="仿宋_GB2312" w:eastAsia="仿宋_GB2312"/>
          <w:sz w:val="28"/>
          <w:szCs w:val="28"/>
        </w:rPr>
        <w:t>有关本次招投标活动方面的问题,可来人、来函（传真）或电话联系。</w:t>
      </w:r>
    </w:p>
    <w:p>
      <w:pPr>
        <w:spacing w:line="560" w:lineRule="exact"/>
        <w:rPr>
          <w:rFonts w:eastAsia="仿宋_GB2312"/>
          <w:sz w:val="28"/>
          <w:szCs w:val="28"/>
        </w:rPr>
      </w:pPr>
      <w:r>
        <w:rPr>
          <w:rFonts w:hint="eastAsia" w:eastAsia="仿宋_GB2312"/>
          <w:sz w:val="28"/>
          <w:szCs w:val="28"/>
        </w:rPr>
        <w:t> </w:t>
      </w:r>
    </w:p>
    <w:p>
      <w:pPr>
        <w:spacing w:line="560" w:lineRule="exact"/>
        <w:rPr>
          <w:rFonts w:eastAsia="仿宋_GB2312"/>
          <w:sz w:val="28"/>
          <w:szCs w:val="28"/>
        </w:rPr>
      </w:pPr>
    </w:p>
    <w:p>
      <w:pPr>
        <w:spacing w:line="560" w:lineRule="exact"/>
        <w:jc w:val="right"/>
        <w:rPr>
          <w:rFonts w:ascii="仿宋_GB2312" w:eastAsia="仿宋_GB2312"/>
          <w:sz w:val="28"/>
          <w:szCs w:val="28"/>
        </w:rPr>
      </w:pPr>
      <w:r>
        <w:rPr>
          <w:rFonts w:hint="eastAsia" w:ascii="仿宋_GB2312" w:eastAsia="仿宋_GB2312"/>
          <w:sz w:val="28"/>
          <w:szCs w:val="28"/>
        </w:rPr>
        <w:t>宜兴水务集团有限公司</w:t>
      </w:r>
    </w:p>
    <w:p>
      <w:pPr>
        <w:spacing w:line="560" w:lineRule="exact"/>
        <w:jc w:val="center"/>
        <w:rPr>
          <w:rFonts w:ascii="仿宋_GB2312" w:eastAsia="仿宋_GB2312"/>
          <w:sz w:val="28"/>
          <w:szCs w:val="28"/>
        </w:rPr>
      </w:pPr>
      <w:r>
        <w:rPr>
          <w:rFonts w:hint="eastAsia" w:ascii="仿宋_GB2312" w:eastAsia="仿宋_GB2312"/>
          <w:sz w:val="28"/>
          <w:szCs w:val="28"/>
        </w:rPr>
        <w:t xml:space="preserve">                                        2021年12月</w:t>
      </w:r>
      <w:r>
        <w:rPr>
          <w:rFonts w:hint="eastAsia" w:ascii="仿宋_GB2312" w:eastAsia="仿宋_GB2312"/>
          <w:color w:val="000000"/>
          <w:sz w:val="28"/>
          <w:szCs w:val="28"/>
        </w:rPr>
        <w:t>28</w:t>
      </w:r>
      <w:r>
        <w:rPr>
          <w:rFonts w:hint="eastAsia" w:ascii="仿宋_GB2312" w:eastAsia="仿宋_GB2312"/>
          <w:sz w:val="28"/>
          <w:szCs w:val="28"/>
        </w:rPr>
        <w:t>日</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F1">
    <w:altName w:val="Malgun Gothic"/>
    <w:panose1 w:val="02060000000000000000"/>
    <w:charset w:val="81"/>
    <w:family w:val="roman"/>
    <w:pitch w:val="default"/>
    <w:sig w:usb0="800002BF" w:usb1="19DF7CF8"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EU-F1">
    <w:altName w:val="宋体"/>
    <w:panose1 w:val="03000509000000000000"/>
    <w:charset w:val="86"/>
    <w:family w:val="script"/>
    <w:pitch w:val="default"/>
    <w:sig w:usb0="00000000" w:usb1="080E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细宋体">
    <w:altName w:val="黑体"/>
    <w:panose1 w:val="00000000000000000000"/>
    <w:charset w:val="86"/>
    <w:family w:val="modern"/>
    <w:pitch w:val="default"/>
    <w:sig w:usb0="00000001" w:usb1="080E0000" w:usb2="00000010" w:usb3="00000000" w:csb0="00040000" w:csb1="00000000"/>
  </w:font>
  <w:font w:name="E-FZ">
    <w:altName w:val="Malgun Gothic"/>
    <w:panose1 w:val="00000000000000000000"/>
    <w:charset w:val="81"/>
    <w:family w:val="roman"/>
    <w:pitch w:val="default"/>
    <w:sig w:usb0="00000010" w:usb1="19DF7CF8" w:usb2="00000033" w:usb3="00000000" w:csb0="0008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长城仿宋">
    <w:altName w:val="宋体"/>
    <w:panose1 w:val="02010609000101010101"/>
    <w:charset w:val="86"/>
    <w:family w:val="modern"/>
    <w:pitch w:val="default"/>
    <w:sig w:usb0="00000001" w:usb1="080E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幼圆+′_x0003_...">
    <w:altName w:val="黑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3"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 PAGE   \* MERGEFORMAT </w:instrText>
    </w:r>
    <w:r>
      <w:fldChar w:fldCharType="separate"/>
    </w:r>
    <w:r>
      <w:rPr>
        <w:lang w:val="zh-CN"/>
      </w:rPr>
      <w:t>26</w:t>
    </w:r>
    <w:r>
      <w:rPr>
        <w:lang w:val="zh-CN"/>
      </w:rPr>
      <w:fldChar w:fldCharType="end"/>
    </w:r>
  </w:p>
  <w:p>
    <w:pPr>
      <w:pStyle w:val="5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257"/>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235"/>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477"/>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260"/>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428"/>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449"/>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276"/>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379"/>
      <w:lvlText w:val="%3."/>
      <w:lvlJc w:val="right"/>
      <w:pPr>
        <w:tabs>
          <w:tab w:val="left" w:pos="-1080"/>
        </w:tabs>
        <w:ind w:left="-1080" w:hanging="420"/>
      </w:pPr>
    </w:lvl>
    <w:lvl w:ilvl="3" w:tentative="0">
      <w:start w:val="1"/>
      <w:numFmt w:val="decimal"/>
      <w:pStyle w:val="407"/>
      <w:lvlText w:val="%4."/>
      <w:lvlJc w:val="left"/>
      <w:pPr>
        <w:tabs>
          <w:tab w:val="left" w:pos="-660"/>
        </w:tabs>
        <w:ind w:left="-660" w:hanging="420"/>
      </w:pPr>
    </w:lvl>
    <w:lvl w:ilvl="4" w:tentative="0">
      <w:start w:val="4"/>
      <w:numFmt w:val="decimal"/>
      <w:pStyle w:val="467"/>
      <w:lvlText w:val="%5．"/>
      <w:lvlJc w:val="left"/>
      <w:pPr>
        <w:tabs>
          <w:tab w:val="left" w:pos="360"/>
        </w:tabs>
        <w:ind w:left="360" w:hanging="360"/>
      </w:pPr>
      <w:rPr>
        <w:rFonts w:hint="default"/>
      </w:rPr>
    </w:lvl>
    <w:lvl w:ilvl="5" w:tentative="0">
      <w:start w:val="5"/>
      <w:numFmt w:val="decimal"/>
      <w:pStyle w:val="493"/>
      <w:lvlText w:val="%6．"/>
      <w:lvlJc w:val="left"/>
      <w:pPr>
        <w:tabs>
          <w:tab w:val="left" w:pos="120"/>
        </w:tabs>
        <w:ind w:left="120" w:hanging="360"/>
      </w:pPr>
      <w:rPr>
        <w:rFonts w:hint="default"/>
      </w:rPr>
    </w:lvl>
    <w:lvl w:ilvl="6" w:tentative="0">
      <w:start w:val="1"/>
      <w:numFmt w:val="decimal"/>
      <w:pStyle w:val="415"/>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19"/>
    <w:multiLevelType w:val="singleLevel"/>
    <w:tmpl w:val="00000019"/>
    <w:lvl w:ilvl="0" w:tentative="0">
      <w:start w:val="1"/>
      <w:numFmt w:val="decimal"/>
      <w:suff w:val="nothing"/>
      <w:lvlText w:val="（%1）"/>
      <w:lvlJc w:val="left"/>
      <w:pPr>
        <w:ind w:left="0" w:firstLine="420"/>
      </w:pPr>
      <w:rPr>
        <w:rFonts w:hint="default"/>
      </w:rPr>
    </w:lvl>
  </w:abstractNum>
  <w:abstractNum w:abstractNumId="13">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4">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5">
    <w:nsid w:val="20063AD5"/>
    <w:multiLevelType w:val="multilevel"/>
    <w:tmpl w:val="20063AD5"/>
    <w:lvl w:ilvl="0" w:tentative="0">
      <w:start w:val="1"/>
      <w:numFmt w:val="lowerLetter"/>
      <w:pStyle w:val="273"/>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337"/>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429"/>
      <w:lvlText w:val="%2)"/>
      <w:lvlJc w:val="left"/>
      <w:pPr>
        <w:tabs>
          <w:tab w:val="left" w:pos="1470"/>
        </w:tabs>
        <w:ind w:left="1470" w:hanging="420"/>
      </w:pPr>
    </w:lvl>
    <w:lvl w:ilvl="2" w:tentative="0">
      <w:start w:val="1"/>
      <w:numFmt w:val="lowerRoman"/>
      <w:pStyle w:val="385"/>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8">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72"/>
      <w:lvlText w:val="%2)"/>
      <w:lvlJc w:val="left"/>
      <w:pPr>
        <w:tabs>
          <w:tab w:val="left" w:pos="1260"/>
        </w:tabs>
        <w:ind w:left="1260" w:hanging="420"/>
      </w:pPr>
    </w:lvl>
    <w:lvl w:ilvl="2" w:tentative="0">
      <w:start w:val="1"/>
      <w:numFmt w:val="lowerRoman"/>
      <w:pStyle w:val="271"/>
      <w:lvlText w:val="%3."/>
      <w:lvlJc w:val="right"/>
      <w:pPr>
        <w:tabs>
          <w:tab w:val="left" w:pos="1680"/>
        </w:tabs>
        <w:ind w:left="1680" w:hanging="420"/>
      </w:pPr>
    </w:lvl>
    <w:lvl w:ilvl="3" w:tentative="0">
      <w:start w:val="1"/>
      <w:numFmt w:val="decimal"/>
      <w:pStyle w:val="270"/>
      <w:lvlText w:val="%4."/>
      <w:lvlJc w:val="left"/>
      <w:pPr>
        <w:tabs>
          <w:tab w:val="left" w:pos="2100"/>
        </w:tabs>
        <w:ind w:left="2100" w:hanging="420"/>
      </w:pPr>
    </w:lvl>
    <w:lvl w:ilvl="4" w:tentative="0">
      <w:start w:val="1"/>
      <w:numFmt w:val="lowerLetter"/>
      <w:pStyle w:val="338"/>
      <w:lvlText w:val="%5)"/>
      <w:lvlJc w:val="left"/>
      <w:pPr>
        <w:tabs>
          <w:tab w:val="left" w:pos="2520"/>
        </w:tabs>
        <w:ind w:left="2520" w:hanging="420"/>
      </w:pPr>
    </w:lvl>
    <w:lvl w:ilvl="5" w:tentative="0">
      <w:start w:val="1"/>
      <w:numFmt w:val="lowerRoman"/>
      <w:pStyle w:val="289"/>
      <w:lvlText w:val="%6."/>
      <w:lvlJc w:val="right"/>
      <w:pPr>
        <w:tabs>
          <w:tab w:val="left" w:pos="2940"/>
        </w:tabs>
        <w:ind w:left="2940" w:hanging="420"/>
      </w:pPr>
    </w:lvl>
    <w:lvl w:ilvl="6" w:tentative="0">
      <w:start w:val="1"/>
      <w:numFmt w:val="decimal"/>
      <w:pStyle w:val="274"/>
      <w:lvlText w:val="%7."/>
      <w:lvlJc w:val="left"/>
      <w:pPr>
        <w:tabs>
          <w:tab w:val="left" w:pos="3360"/>
        </w:tabs>
        <w:ind w:left="3360" w:hanging="420"/>
      </w:pPr>
    </w:lvl>
    <w:lvl w:ilvl="7" w:tentative="0">
      <w:start w:val="1"/>
      <w:numFmt w:val="lowerLetter"/>
      <w:pStyle w:val="269"/>
      <w:lvlText w:val="%8)"/>
      <w:lvlJc w:val="left"/>
      <w:pPr>
        <w:tabs>
          <w:tab w:val="left" w:pos="3780"/>
        </w:tabs>
        <w:ind w:left="3780" w:hanging="420"/>
      </w:pPr>
    </w:lvl>
    <w:lvl w:ilvl="8" w:tentative="0">
      <w:start w:val="1"/>
      <w:numFmt w:val="lowerRoman"/>
      <w:pStyle w:val="233"/>
      <w:lvlText w:val="%9."/>
      <w:lvlJc w:val="right"/>
      <w:pPr>
        <w:tabs>
          <w:tab w:val="left" w:pos="4200"/>
        </w:tabs>
        <w:ind w:left="4200" w:hanging="420"/>
      </w:pPr>
    </w:lvl>
  </w:abstractNum>
  <w:abstractNum w:abstractNumId="19">
    <w:nsid w:val="4FA533DD"/>
    <w:multiLevelType w:val="singleLevel"/>
    <w:tmpl w:val="4FA533DD"/>
    <w:lvl w:ilvl="0" w:tentative="0">
      <w:start w:val="4"/>
      <w:numFmt w:val="decimal"/>
      <w:suff w:val="nothing"/>
      <w:lvlText w:val="%1、"/>
      <w:lvlJc w:val="left"/>
      <w:rPr>
        <w:rFonts w:cs="Times New Roman"/>
      </w:rPr>
    </w:lvl>
  </w:abstractNum>
  <w:abstractNum w:abstractNumId="20">
    <w:nsid w:val="4FA533DE"/>
    <w:multiLevelType w:val="singleLevel"/>
    <w:tmpl w:val="4FA533DE"/>
    <w:lvl w:ilvl="0" w:tentative="0">
      <w:start w:val="5"/>
      <w:numFmt w:val="chineseCounting"/>
      <w:suff w:val="nothing"/>
      <w:lvlText w:val="%1、"/>
      <w:lvlJc w:val="left"/>
      <w:rPr>
        <w:rFonts w:cs="Times New Roman"/>
      </w:rPr>
    </w:lvl>
  </w:abstractNum>
  <w:abstractNum w:abstractNumId="21">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22">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3">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4">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25">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6">
    <w:nsid w:val="6B69723B"/>
    <w:multiLevelType w:val="multilevel"/>
    <w:tmpl w:val="6B69723B"/>
    <w:lvl w:ilvl="0" w:tentative="0">
      <w:start w:val="1"/>
      <w:numFmt w:val="decimal"/>
      <w:pStyle w:val="323"/>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28"/>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7"/>
  </w:num>
  <w:num w:numId="2">
    <w:abstractNumId w:val="18"/>
  </w:num>
  <w:num w:numId="3">
    <w:abstractNumId w:val="1"/>
  </w:num>
  <w:num w:numId="4">
    <w:abstractNumId w:val="0"/>
  </w:num>
  <w:num w:numId="5">
    <w:abstractNumId w:val="3"/>
  </w:num>
  <w:num w:numId="6">
    <w:abstractNumId w:val="15"/>
  </w:num>
  <w:num w:numId="7">
    <w:abstractNumId w:val="6"/>
  </w:num>
  <w:num w:numId="8">
    <w:abstractNumId w:val="26"/>
  </w:num>
  <w:num w:numId="9">
    <w:abstractNumId w:val="16"/>
  </w:num>
  <w:num w:numId="10">
    <w:abstractNumId w:val="10"/>
  </w:num>
  <w:num w:numId="11">
    <w:abstractNumId w:val="17"/>
  </w:num>
  <w:num w:numId="12">
    <w:abstractNumId w:val="4"/>
  </w:num>
  <w:num w:numId="13">
    <w:abstractNumId w:val="5"/>
  </w:num>
  <w:num w:numId="14">
    <w:abstractNumId w:val="2"/>
  </w:num>
  <w:num w:numId="15">
    <w:abstractNumId w:val="21"/>
  </w:num>
  <w:num w:numId="16">
    <w:abstractNumId w:val="9"/>
  </w:num>
  <w:num w:numId="17">
    <w:abstractNumId w:val="25"/>
  </w:num>
  <w:num w:numId="18">
    <w:abstractNumId w:val="11"/>
  </w:num>
  <w:num w:numId="19">
    <w:abstractNumId w:val="12"/>
  </w:num>
  <w:num w:numId="20">
    <w:abstractNumId w:val="22"/>
  </w:num>
  <w:num w:numId="21">
    <w:abstractNumId w:val="23"/>
  </w:num>
  <w:num w:numId="22">
    <w:abstractNumId w:val="7"/>
  </w:num>
  <w:num w:numId="23">
    <w:abstractNumId w:val="13"/>
  </w:num>
  <w:num w:numId="24">
    <w:abstractNumId w:val="14"/>
  </w:num>
  <w:num w:numId="25">
    <w:abstractNumId w:val="19"/>
    <w:lvlOverride w:ilvl="0">
      <w:startOverride w:val="4"/>
    </w:lvlOverride>
  </w:num>
  <w:num w:numId="26">
    <w:abstractNumId w:val="20"/>
    <w:lvlOverride w:ilvl="0">
      <w:startOverride w:val="5"/>
    </w:lvlOverride>
  </w:num>
  <w:num w:numId="27">
    <w:abstractNumId w:val="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4FD4"/>
    <w:rsid w:val="000050DE"/>
    <w:rsid w:val="00016618"/>
    <w:rsid w:val="00027A8A"/>
    <w:rsid w:val="00042CC3"/>
    <w:rsid w:val="00047392"/>
    <w:rsid w:val="00063081"/>
    <w:rsid w:val="00063887"/>
    <w:rsid w:val="0007007A"/>
    <w:rsid w:val="000770C1"/>
    <w:rsid w:val="00077B4D"/>
    <w:rsid w:val="000874F5"/>
    <w:rsid w:val="00093219"/>
    <w:rsid w:val="00094306"/>
    <w:rsid w:val="000B34F3"/>
    <w:rsid w:val="000B4009"/>
    <w:rsid w:val="000D028C"/>
    <w:rsid w:val="000D0A31"/>
    <w:rsid w:val="000D45B7"/>
    <w:rsid w:val="000D4D3F"/>
    <w:rsid w:val="000E1BC8"/>
    <w:rsid w:val="000E2D0A"/>
    <w:rsid w:val="000E775E"/>
    <w:rsid w:val="00107521"/>
    <w:rsid w:val="00110153"/>
    <w:rsid w:val="00115C57"/>
    <w:rsid w:val="00145CF6"/>
    <w:rsid w:val="00156D11"/>
    <w:rsid w:val="00162D73"/>
    <w:rsid w:val="00163B02"/>
    <w:rsid w:val="00173360"/>
    <w:rsid w:val="00173521"/>
    <w:rsid w:val="0018308F"/>
    <w:rsid w:val="00194751"/>
    <w:rsid w:val="001A0AEB"/>
    <w:rsid w:val="001A3569"/>
    <w:rsid w:val="001B3697"/>
    <w:rsid w:val="001B387B"/>
    <w:rsid w:val="001D475E"/>
    <w:rsid w:val="001E527B"/>
    <w:rsid w:val="0020510D"/>
    <w:rsid w:val="00205424"/>
    <w:rsid w:val="00211160"/>
    <w:rsid w:val="00216917"/>
    <w:rsid w:val="00223458"/>
    <w:rsid w:val="00225291"/>
    <w:rsid w:val="00227721"/>
    <w:rsid w:val="00230288"/>
    <w:rsid w:val="002375AF"/>
    <w:rsid w:val="002404C7"/>
    <w:rsid w:val="00243C15"/>
    <w:rsid w:val="00245B7A"/>
    <w:rsid w:val="00247529"/>
    <w:rsid w:val="00251986"/>
    <w:rsid w:val="00253543"/>
    <w:rsid w:val="002674E8"/>
    <w:rsid w:val="00280EDD"/>
    <w:rsid w:val="0028335F"/>
    <w:rsid w:val="00284CC6"/>
    <w:rsid w:val="00296193"/>
    <w:rsid w:val="002A1E2E"/>
    <w:rsid w:val="002A24D8"/>
    <w:rsid w:val="002B39BB"/>
    <w:rsid w:val="002B59FB"/>
    <w:rsid w:val="002C70BA"/>
    <w:rsid w:val="002D5406"/>
    <w:rsid w:val="002E1824"/>
    <w:rsid w:val="002F27D6"/>
    <w:rsid w:val="002F7E29"/>
    <w:rsid w:val="0030271C"/>
    <w:rsid w:val="00325CA3"/>
    <w:rsid w:val="00342F5B"/>
    <w:rsid w:val="0034450C"/>
    <w:rsid w:val="003451BB"/>
    <w:rsid w:val="00362009"/>
    <w:rsid w:val="00367385"/>
    <w:rsid w:val="0037783C"/>
    <w:rsid w:val="00377A1A"/>
    <w:rsid w:val="0038324F"/>
    <w:rsid w:val="003937B6"/>
    <w:rsid w:val="00393C62"/>
    <w:rsid w:val="00394046"/>
    <w:rsid w:val="00396495"/>
    <w:rsid w:val="003A2CAD"/>
    <w:rsid w:val="003C0E52"/>
    <w:rsid w:val="003E1D25"/>
    <w:rsid w:val="003F7B1A"/>
    <w:rsid w:val="00443203"/>
    <w:rsid w:val="0044552F"/>
    <w:rsid w:val="00446253"/>
    <w:rsid w:val="00465523"/>
    <w:rsid w:val="00490924"/>
    <w:rsid w:val="004A16AA"/>
    <w:rsid w:val="004B012F"/>
    <w:rsid w:val="004B2387"/>
    <w:rsid w:val="004B3B04"/>
    <w:rsid w:val="004D4322"/>
    <w:rsid w:val="004D65D3"/>
    <w:rsid w:val="004E1819"/>
    <w:rsid w:val="004E4701"/>
    <w:rsid w:val="004E5E09"/>
    <w:rsid w:val="004F1D66"/>
    <w:rsid w:val="00510E70"/>
    <w:rsid w:val="00511196"/>
    <w:rsid w:val="00517E1D"/>
    <w:rsid w:val="0053192E"/>
    <w:rsid w:val="00533CEB"/>
    <w:rsid w:val="00543359"/>
    <w:rsid w:val="00554A82"/>
    <w:rsid w:val="0056381F"/>
    <w:rsid w:val="00563CCD"/>
    <w:rsid w:val="00572186"/>
    <w:rsid w:val="00575902"/>
    <w:rsid w:val="005B1826"/>
    <w:rsid w:val="005B3469"/>
    <w:rsid w:val="005B4FA7"/>
    <w:rsid w:val="005C2860"/>
    <w:rsid w:val="005C6322"/>
    <w:rsid w:val="005C6971"/>
    <w:rsid w:val="005F73AF"/>
    <w:rsid w:val="006112BE"/>
    <w:rsid w:val="00611F53"/>
    <w:rsid w:val="00612EEF"/>
    <w:rsid w:val="00624DB0"/>
    <w:rsid w:val="00636A45"/>
    <w:rsid w:val="00657F7E"/>
    <w:rsid w:val="00667851"/>
    <w:rsid w:val="0067075C"/>
    <w:rsid w:val="0068693F"/>
    <w:rsid w:val="00697679"/>
    <w:rsid w:val="006C2FFD"/>
    <w:rsid w:val="006C5913"/>
    <w:rsid w:val="006D196A"/>
    <w:rsid w:val="006E72CE"/>
    <w:rsid w:val="006F4E0A"/>
    <w:rsid w:val="006F6722"/>
    <w:rsid w:val="007026D5"/>
    <w:rsid w:val="00710B2E"/>
    <w:rsid w:val="00714C03"/>
    <w:rsid w:val="007241D7"/>
    <w:rsid w:val="00726EBA"/>
    <w:rsid w:val="00731C9A"/>
    <w:rsid w:val="0073294A"/>
    <w:rsid w:val="0073295A"/>
    <w:rsid w:val="00751B1C"/>
    <w:rsid w:val="00760775"/>
    <w:rsid w:val="00773E58"/>
    <w:rsid w:val="00776638"/>
    <w:rsid w:val="0078335A"/>
    <w:rsid w:val="00794980"/>
    <w:rsid w:val="00795C42"/>
    <w:rsid w:val="007A376A"/>
    <w:rsid w:val="007C3291"/>
    <w:rsid w:val="007C5599"/>
    <w:rsid w:val="007D20CA"/>
    <w:rsid w:val="007D6775"/>
    <w:rsid w:val="007E62F1"/>
    <w:rsid w:val="007F1681"/>
    <w:rsid w:val="007F188A"/>
    <w:rsid w:val="007F2D64"/>
    <w:rsid w:val="00801052"/>
    <w:rsid w:val="00803E7C"/>
    <w:rsid w:val="00806B1F"/>
    <w:rsid w:val="00810F54"/>
    <w:rsid w:val="00831521"/>
    <w:rsid w:val="00836091"/>
    <w:rsid w:val="00836D8E"/>
    <w:rsid w:val="00840EA7"/>
    <w:rsid w:val="00841471"/>
    <w:rsid w:val="00845FBB"/>
    <w:rsid w:val="00845FF7"/>
    <w:rsid w:val="008521FA"/>
    <w:rsid w:val="0085617D"/>
    <w:rsid w:val="008648EB"/>
    <w:rsid w:val="00891430"/>
    <w:rsid w:val="0089150E"/>
    <w:rsid w:val="008B4989"/>
    <w:rsid w:val="008D2564"/>
    <w:rsid w:val="008D74F7"/>
    <w:rsid w:val="008E637F"/>
    <w:rsid w:val="008F5CE2"/>
    <w:rsid w:val="0090199D"/>
    <w:rsid w:val="00901CE3"/>
    <w:rsid w:val="00904D0F"/>
    <w:rsid w:val="00905D4E"/>
    <w:rsid w:val="00916FFD"/>
    <w:rsid w:val="0092743B"/>
    <w:rsid w:val="009302FD"/>
    <w:rsid w:val="00932F13"/>
    <w:rsid w:val="00933662"/>
    <w:rsid w:val="009432E3"/>
    <w:rsid w:val="00955E8E"/>
    <w:rsid w:val="00960456"/>
    <w:rsid w:val="00961492"/>
    <w:rsid w:val="0096255D"/>
    <w:rsid w:val="009639E0"/>
    <w:rsid w:val="00963F99"/>
    <w:rsid w:val="00965A95"/>
    <w:rsid w:val="009856C4"/>
    <w:rsid w:val="00990483"/>
    <w:rsid w:val="00991592"/>
    <w:rsid w:val="00993DA8"/>
    <w:rsid w:val="00996823"/>
    <w:rsid w:val="00996891"/>
    <w:rsid w:val="00996FC8"/>
    <w:rsid w:val="009A0FB8"/>
    <w:rsid w:val="009B033D"/>
    <w:rsid w:val="009B3CF3"/>
    <w:rsid w:val="009C298E"/>
    <w:rsid w:val="009C5527"/>
    <w:rsid w:val="009C57DE"/>
    <w:rsid w:val="009C7C3F"/>
    <w:rsid w:val="009F36E1"/>
    <w:rsid w:val="00A24A80"/>
    <w:rsid w:val="00A2544B"/>
    <w:rsid w:val="00A36160"/>
    <w:rsid w:val="00A52BEF"/>
    <w:rsid w:val="00A54835"/>
    <w:rsid w:val="00A5785A"/>
    <w:rsid w:val="00A678FA"/>
    <w:rsid w:val="00A67A1A"/>
    <w:rsid w:val="00A72C5E"/>
    <w:rsid w:val="00A76493"/>
    <w:rsid w:val="00A91BD7"/>
    <w:rsid w:val="00A927BE"/>
    <w:rsid w:val="00A93C38"/>
    <w:rsid w:val="00AA30CA"/>
    <w:rsid w:val="00AB0810"/>
    <w:rsid w:val="00AC2325"/>
    <w:rsid w:val="00AC4069"/>
    <w:rsid w:val="00AC43D0"/>
    <w:rsid w:val="00AD04E4"/>
    <w:rsid w:val="00AD0AA0"/>
    <w:rsid w:val="00AD499B"/>
    <w:rsid w:val="00B02D95"/>
    <w:rsid w:val="00B032CC"/>
    <w:rsid w:val="00B17D9D"/>
    <w:rsid w:val="00B24081"/>
    <w:rsid w:val="00B254B9"/>
    <w:rsid w:val="00B30897"/>
    <w:rsid w:val="00B3107D"/>
    <w:rsid w:val="00B36F53"/>
    <w:rsid w:val="00B525E9"/>
    <w:rsid w:val="00B64171"/>
    <w:rsid w:val="00B64ECF"/>
    <w:rsid w:val="00B70A8E"/>
    <w:rsid w:val="00B767C3"/>
    <w:rsid w:val="00B805B3"/>
    <w:rsid w:val="00B9494C"/>
    <w:rsid w:val="00BA2387"/>
    <w:rsid w:val="00BA3969"/>
    <w:rsid w:val="00BA5309"/>
    <w:rsid w:val="00BB0746"/>
    <w:rsid w:val="00BF1F2A"/>
    <w:rsid w:val="00BF2413"/>
    <w:rsid w:val="00BF7E55"/>
    <w:rsid w:val="00C032FB"/>
    <w:rsid w:val="00C1057C"/>
    <w:rsid w:val="00C10902"/>
    <w:rsid w:val="00C16984"/>
    <w:rsid w:val="00C20209"/>
    <w:rsid w:val="00C32866"/>
    <w:rsid w:val="00C33F56"/>
    <w:rsid w:val="00C43230"/>
    <w:rsid w:val="00C4327B"/>
    <w:rsid w:val="00C61B60"/>
    <w:rsid w:val="00C65C7E"/>
    <w:rsid w:val="00C65DB1"/>
    <w:rsid w:val="00C775B8"/>
    <w:rsid w:val="00C77C14"/>
    <w:rsid w:val="00C930F2"/>
    <w:rsid w:val="00C939B8"/>
    <w:rsid w:val="00C9493F"/>
    <w:rsid w:val="00C97C1C"/>
    <w:rsid w:val="00CA0016"/>
    <w:rsid w:val="00CA38FB"/>
    <w:rsid w:val="00CA6480"/>
    <w:rsid w:val="00CD5E41"/>
    <w:rsid w:val="00CE088D"/>
    <w:rsid w:val="00CE486E"/>
    <w:rsid w:val="00CF5392"/>
    <w:rsid w:val="00D05CBF"/>
    <w:rsid w:val="00D12B95"/>
    <w:rsid w:val="00D14147"/>
    <w:rsid w:val="00D222EA"/>
    <w:rsid w:val="00D23C42"/>
    <w:rsid w:val="00D26052"/>
    <w:rsid w:val="00D3393D"/>
    <w:rsid w:val="00D3536F"/>
    <w:rsid w:val="00D375AE"/>
    <w:rsid w:val="00D416F0"/>
    <w:rsid w:val="00D46709"/>
    <w:rsid w:val="00D55F92"/>
    <w:rsid w:val="00D57E88"/>
    <w:rsid w:val="00D66B2E"/>
    <w:rsid w:val="00D67BC6"/>
    <w:rsid w:val="00DC7154"/>
    <w:rsid w:val="00DC7F06"/>
    <w:rsid w:val="00DD0194"/>
    <w:rsid w:val="00DD7C73"/>
    <w:rsid w:val="00DE533D"/>
    <w:rsid w:val="00DF662D"/>
    <w:rsid w:val="00E05E02"/>
    <w:rsid w:val="00E21119"/>
    <w:rsid w:val="00E26EED"/>
    <w:rsid w:val="00E36E09"/>
    <w:rsid w:val="00E3773E"/>
    <w:rsid w:val="00E45A95"/>
    <w:rsid w:val="00E56CB4"/>
    <w:rsid w:val="00E57313"/>
    <w:rsid w:val="00E57464"/>
    <w:rsid w:val="00E60E07"/>
    <w:rsid w:val="00E67060"/>
    <w:rsid w:val="00E7084A"/>
    <w:rsid w:val="00E8076E"/>
    <w:rsid w:val="00E8219F"/>
    <w:rsid w:val="00E83D8E"/>
    <w:rsid w:val="00E87948"/>
    <w:rsid w:val="00E96F4C"/>
    <w:rsid w:val="00E97F57"/>
    <w:rsid w:val="00EA0AFE"/>
    <w:rsid w:val="00EA2906"/>
    <w:rsid w:val="00EA2F1D"/>
    <w:rsid w:val="00EB2A2B"/>
    <w:rsid w:val="00EB48F2"/>
    <w:rsid w:val="00EB54B0"/>
    <w:rsid w:val="00EC4036"/>
    <w:rsid w:val="00ED0DBD"/>
    <w:rsid w:val="00EE24CA"/>
    <w:rsid w:val="00EE2EEC"/>
    <w:rsid w:val="00EE5F8B"/>
    <w:rsid w:val="00EF1D49"/>
    <w:rsid w:val="00F0063E"/>
    <w:rsid w:val="00F03A85"/>
    <w:rsid w:val="00F03B15"/>
    <w:rsid w:val="00F05F98"/>
    <w:rsid w:val="00F06ECE"/>
    <w:rsid w:val="00F13507"/>
    <w:rsid w:val="00F16BF2"/>
    <w:rsid w:val="00F20AD4"/>
    <w:rsid w:val="00F236AD"/>
    <w:rsid w:val="00F26171"/>
    <w:rsid w:val="00F373AB"/>
    <w:rsid w:val="00F4434A"/>
    <w:rsid w:val="00F507DE"/>
    <w:rsid w:val="00F51DCC"/>
    <w:rsid w:val="00F55979"/>
    <w:rsid w:val="00F57D25"/>
    <w:rsid w:val="00F63BB0"/>
    <w:rsid w:val="00F70ABE"/>
    <w:rsid w:val="00F73FDD"/>
    <w:rsid w:val="00F751C5"/>
    <w:rsid w:val="00F81AF0"/>
    <w:rsid w:val="00F822F0"/>
    <w:rsid w:val="00FA1DD3"/>
    <w:rsid w:val="00FA374B"/>
    <w:rsid w:val="00FA6C2F"/>
    <w:rsid w:val="00FB0C38"/>
    <w:rsid w:val="00FB136F"/>
    <w:rsid w:val="00FB146D"/>
    <w:rsid w:val="00FB49F8"/>
    <w:rsid w:val="00FB5FAB"/>
    <w:rsid w:val="00FC20AC"/>
    <w:rsid w:val="00FC298F"/>
    <w:rsid w:val="00FC4B30"/>
    <w:rsid w:val="00FD33BD"/>
    <w:rsid w:val="00FD6F1A"/>
    <w:rsid w:val="00FE1913"/>
    <w:rsid w:val="00FE43DF"/>
    <w:rsid w:val="00FE73C8"/>
    <w:rsid w:val="01BC5A23"/>
    <w:rsid w:val="03C30993"/>
    <w:rsid w:val="0790057F"/>
    <w:rsid w:val="088C2CFA"/>
    <w:rsid w:val="0A3B412B"/>
    <w:rsid w:val="0E6024DC"/>
    <w:rsid w:val="1009308B"/>
    <w:rsid w:val="14144B95"/>
    <w:rsid w:val="159A0EA7"/>
    <w:rsid w:val="168A3D2C"/>
    <w:rsid w:val="1908229C"/>
    <w:rsid w:val="1A7B546E"/>
    <w:rsid w:val="1E6925C0"/>
    <w:rsid w:val="215A19BE"/>
    <w:rsid w:val="23EC2F12"/>
    <w:rsid w:val="266D40AE"/>
    <w:rsid w:val="28AE6C78"/>
    <w:rsid w:val="2AED2CDD"/>
    <w:rsid w:val="2BC11C46"/>
    <w:rsid w:val="2D161B30"/>
    <w:rsid w:val="30D41037"/>
    <w:rsid w:val="312E356C"/>
    <w:rsid w:val="31497D8B"/>
    <w:rsid w:val="319E5533"/>
    <w:rsid w:val="33060EBA"/>
    <w:rsid w:val="3A7D2D15"/>
    <w:rsid w:val="3AC257F1"/>
    <w:rsid w:val="3CEA44D4"/>
    <w:rsid w:val="3E9876E2"/>
    <w:rsid w:val="3E987883"/>
    <w:rsid w:val="3EE424B4"/>
    <w:rsid w:val="40574364"/>
    <w:rsid w:val="411B6382"/>
    <w:rsid w:val="420B6FB7"/>
    <w:rsid w:val="42EC32E2"/>
    <w:rsid w:val="43443D9B"/>
    <w:rsid w:val="437171AF"/>
    <w:rsid w:val="45156357"/>
    <w:rsid w:val="45ED31E3"/>
    <w:rsid w:val="46D51EE4"/>
    <w:rsid w:val="47C27360"/>
    <w:rsid w:val="4A423F51"/>
    <w:rsid w:val="4CB542FF"/>
    <w:rsid w:val="4D1F4BD0"/>
    <w:rsid w:val="4D4670C2"/>
    <w:rsid w:val="4E62234D"/>
    <w:rsid w:val="50922B8A"/>
    <w:rsid w:val="50D431BD"/>
    <w:rsid w:val="513076F1"/>
    <w:rsid w:val="51AC646F"/>
    <w:rsid w:val="52FD606D"/>
    <w:rsid w:val="54335A4F"/>
    <w:rsid w:val="543C0555"/>
    <w:rsid w:val="55926D82"/>
    <w:rsid w:val="55C847CD"/>
    <w:rsid w:val="55F3018B"/>
    <w:rsid w:val="574E7160"/>
    <w:rsid w:val="576A0A73"/>
    <w:rsid w:val="57BE02DE"/>
    <w:rsid w:val="57E620B0"/>
    <w:rsid w:val="58F97241"/>
    <w:rsid w:val="594819C3"/>
    <w:rsid w:val="5AB00494"/>
    <w:rsid w:val="5ACE2022"/>
    <w:rsid w:val="5B0A3711"/>
    <w:rsid w:val="5B203931"/>
    <w:rsid w:val="5D1F32DB"/>
    <w:rsid w:val="5D532B88"/>
    <w:rsid w:val="606A412B"/>
    <w:rsid w:val="61F92827"/>
    <w:rsid w:val="63A8209E"/>
    <w:rsid w:val="646140D3"/>
    <w:rsid w:val="64776A5C"/>
    <w:rsid w:val="64E20A6D"/>
    <w:rsid w:val="64E54E9F"/>
    <w:rsid w:val="651B74EF"/>
    <w:rsid w:val="67156804"/>
    <w:rsid w:val="69E82E1F"/>
    <w:rsid w:val="6D601BDC"/>
    <w:rsid w:val="6DCF114C"/>
    <w:rsid w:val="70285A41"/>
    <w:rsid w:val="72003EEC"/>
    <w:rsid w:val="72007BC7"/>
    <w:rsid w:val="72430013"/>
    <w:rsid w:val="73BB6E6C"/>
    <w:rsid w:val="73D4462E"/>
    <w:rsid w:val="754A1135"/>
    <w:rsid w:val="76961D80"/>
    <w:rsid w:val="787539A8"/>
    <w:rsid w:val="7ADA25D5"/>
    <w:rsid w:val="7CCB6ECD"/>
    <w:rsid w:val="7CE91831"/>
    <w:rsid w:val="7E0056FB"/>
    <w:rsid w:val="7EAF3F8C"/>
    <w:rsid w:val="7F416A44"/>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4">
    <w:name w:val="heading 1"/>
    <w:basedOn w:val="1"/>
    <w:next w:val="1"/>
    <w:link w:val="186"/>
    <w:qFormat/>
    <w:locked/>
    <w:uiPriority w:val="0"/>
    <w:pPr>
      <w:keepNext/>
      <w:spacing w:before="227" w:line="240" w:lineRule="exact"/>
      <w:ind w:firstLine="420"/>
      <w:outlineLvl w:val="0"/>
    </w:pPr>
    <w:rPr>
      <w:color w:val="000000"/>
      <w:sz w:val="24"/>
    </w:rPr>
  </w:style>
  <w:style w:type="paragraph" w:styleId="5">
    <w:name w:val="heading 2"/>
    <w:basedOn w:val="1"/>
    <w:next w:val="1"/>
    <w:link w:val="163"/>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6">
    <w:name w:val="heading 3"/>
    <w:basedOn w:val="1"/>
    <w:next w:val="1"/>
    <w:link w:val="170"/>
    <w:qFormat/>
    <w:locked/>
    <w:uiPriority w:val="0"/>
    <w:pPr>
      <w:widowControl/>
      <w:spacing w:before="100" w:beforeAutospacing="1" w:after="100" w:afterAutospacing="1"/>
      <w:jc w:val="left"/>
      <w:outlineLvl w:val="2"/>
    </w:pPr>
    <w:rPr>
      <w:rFonts w:ascii="宋体" w:hAnsi="宋体"/>
      <w:b/>
      <w:bCs/>
      <w:kern w:val="0"/>
      <w:sz w:val="27"/>
      <w:szCs w:val="27"/>
    </w:rPr>
  </w:style>
  <w:style w:type="paragraph" w:styleId="7">
    <w:name w:val="heading 4"/>
    <w:basedOn w:val="1"/>
    <w:next w:val="1"/>
    <w:link w:val="105"/>
    <w:qFormat/>
    <w:locked/>
    <w:uiPriority w:val="0"/>
    <w:pPr>
      <w:keepNext/>
      <w:snapToGrid w:val="0"/>
      <w:spacing w:beforeLines="20" w:afterLines="20"/>
      <w:jc w:val="center"/>
      <w:outlineLvl w:val="3"/>
    </w:pPr>
    <w:rPr>
      <w:sz w:val="18"/>
      <w:szCs w:val="18"/>
    </w:rPr>
  </w:style>
  <w:style w:type="paragraph" w:styleId="8">
    <w:name w:val="heading 5"/>
    <w:basedOn w:val="1"/>
    <w:next w:val="1"/>
    <w:link w:val="99"/>
    <w:qFormat/>
    <w:locked/>
    <w:uiPriority w:val="0"/>
    <w:pPr>
      <w:keepNext/>
      <w:keepLines/>
      <w:topLinePunct/>
      <w:adjustRightInd w:val="0"/>
      <w:spacing w:before="280" w:after="290" w:line="372" w:lineRule="auto"/>
      <w:outlineLvl w:val="4"/>
    </w:pPr>
    <w:rPr>
      <w:b/>
      <w:sz w:val="28"/>
    </w:rPr>
  </w:style>
  <w:style w:type="paragraph" w:styleId="9">
    <w:name w:val="heading 6"/>
    <w:basedOn w:val="1"/>
    <w:next w:val="1"/>
    <w:link w:val="145"/>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10">
    <w:name w:val="heading 7"/>
    <w:basedOn w:val="1"/>
    <w:next w:val="1"/>
    <w:link w:val="156"/>
    <w:qFormat/>
    <w:locked/>
    <w:uiPriority w:val="0"/>
    <w:pPr>
      <w:keepNext/>
      <w:keepLines/>
      <w:topLinePunct/>
      <w:adjustRightInd w:val="0"/>
      <w:spacing w:before="240" w:after="64" w:line="317" w:lineRule="auto"/>
      <w:outlineLvl w:val="6"/>
    </w:pPr>
    <w:rPr>
      <w:b/>
      <w:sz w:val="24"/>
    </w:rPr>
  </w:style>
  <w:style w:type="paragraph" w:styleId="11">
    <w:name w:val="heading 8"/>
    <w:basedOn w:val="1"/>
    <w:next w:val="12"/>
    <w:link w:val="126"/>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3">
    <w:name w:val="heading 9"/>
    <w:basedOn w:val="1"/>
    <w:next w:val="1"/>
    <w:link w:val="199"/>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Style w:val="75"/>
      <w:tblCellMar>
        <w:top w:w="0" w:type="dxa"/>
        <w:left w:w="108" w:type="dxa"/>
        <w:bottom w:w="0" w:type="dxa"/>
        <w:right w:w="108" w:type="dxa"/>
      </w:tblCellMar>
    </w:tblPr>
  </w:style>
  <w:style w:type="paragraph" w:styleId="2">
    <w:name w:val="Body Text First Indent"/>
    <w:basedOn w:val="1"/>
    <w:link w:val="139"/>
    <w:uiPriority w:val="0"/>
    <w:pPr>
      <w:spacing w:after="120"/>
      <w:ind w:firstLine="420" w:firstLineChars="100"/>
    </w:pPr>
  </w:style>
  <w:style w:type="paragraph" w:styleId="3">
    <w:name w:val="macro"/>
    <w:basedOn w:val="1"/>
    <w:link w:val="147"/>
    <w:uiPriority w:val="0"/>
    <w:pPr>
      <w:widowControl/>
      <w:spacing w:line="300" w:lineRule="auto"/>
      <w:jc w:val="left"/>
    </w:pPr>
    <w:rPr>
      <w:rFonts w:ascii="Courier New" w:hAnsi="Courier New"/>
      <w:kern w:val="0"/>
    </w:rPr>
  </w:style>
  <w:style w:type="paragraph" w:styleId="12">
    <w:name w:val="Normal Indent"/>
    <w:basedOn w:val="1"/>
    <w:uiPriority w:val="0"/>
    <w:pPr>
      <w:spacing w:line="500" w:lineRule="exact"/>
      <w:ind w:firstLine="420"/>
    </w:pPr>
    <w:rPr>
      <w:sz w:val="28"/>
    </w:rPr>
  </w:style>
  <w:style w:type="paragraph" w:styleId="14">
    <w:name w:val="List 3"/>
    <w:basedOn w:val="1"/>
    <w:uiPriority w:val="0"/>
    <w:pPr>
      <w:spacing w:line="300" w:lineRule="auto"/>
      <w:ind w:left="100" w:leftChars="400" w:hanging="200" w:hangingChars="200"/>
    </w:pPr>
    <w:rPr>
      <w:rFonts w:ascii="Arial" w:hAnsi="Arial"/>
    </w:rPr>
  </w:style>
  <w:style w:type="paragraph" w:styleId="15">
    <w:name w:val="toc 7"/>
    <w:basedOn w:val="1"/>
    <w:next w:val="1"/>
    <w:locked/>
    <w:uiPriority w:val="0"/>
    <w:pPr>
      <w:ind w:left="1260"/>
      <w:jc w:val="left"/>
    </w:pPr>
    <w:rPr>
      <w:sz w:val="18"/>
      <w:szCs w:val="18"/>
    </w:rPr>
  </w:style>
  <w:style w:type="paragraph" w:styleId="16">
    <w:name w:val="List Number 2"/>
    <w:basedOn w:val="1"/>
    <w:uiPriority w:val="0"/>
    <w:pPr>
      <w:tabs>
        <w:tab w:val="left" w:pos="1133"/>
      </w:tabs>
      <w:spacing w:beforeLines="10" w:line="312" w:lineRule="auto"/>
      <w:ind w:left="1133" w:hanging="334"/>
    </w:pPr>
    <w:rPr>
      <w:rFonts w:ascii="Arial" w:hAnsi="Arial"/>
      <w:kern w:val="0"/>
    </w:rPr>
  </w:style>
  <w:style w:type="paragraph" w:styleId="17">
    <w:name w:val="table of authorities"/>
    <w:basedOn w:val="1"/>
    <w:next w:val="1"/>
    <w:uiPriority w:val="0"/>
    <w:pPr>
      <w:spacing w:line="300" w:lineRule="auto"/>
      <w:ind w:left="420"/>
    </w:pPr>
    <w:rPr>
      <w:rFonts w:ascii="Arial" w:hAnsi="Arial"/>
    </w:rPr>
  </w:style>
  <w:style w:type="paragraph" w:styleId="18">
    <w:name w:val="Note Heading"/>
    <w:basedOn w:val="1"/>
    <w:next w:val="1"/>
    <w:link w:val="137"/>
    <w:uiPriority w:val="0"/>
    <w:pPr>
      <w:spacing w:beforeLines="25" w:afterLines="25"/>
      <w:jc w:val="center"/>
    </w:pPr>
    <w:rPr>
      <w:rFonts w:ascii="Arial" w:hAnsi="Arial" w:eastAsia="黑体"/>
    </w:rPr>
  </w:style>
  <w:style w:type="paragraph" w:styleId="19">
    <w:name w:val="List Bullet 4"/>
    <w:basedOn w:val="1"/>
    <w:uiPriority w:val="0"/>
    <w:pPr>
      <w:tabs>
        <w:tab w:val="left" w:pos="1758"/>
      </w:tabs>
      <w:spacing w:line="300" w:lineRule="auto"/>
      <w:ind w:left="1758" w:hanging="397"/>
    </w:pPr>
    <w:rPr>
      <w:rFonts w:ascii="Arial" w:hAnsi="Arial"/>
      <w:sz w:val="24"/>
    </w:rPr>
  </w:style>
  <w:style w:type="paragraph" w:styleId="20">
    <w:name w:val="index 8"/>
    <w:basedOn w:val="1"/>
    <w:next w:val="1"/>
    <w:uiPriority w:val="0"/>
    <w:pPr>
      <w:spacing w:line="300" w:lineRule="auto"/>
      <w:ind w:left="2940"/>
    </w:pPr>
    <w:rPr>
      <w:rFonts w:ascii="Arial" w:hAnsi="Arial"/>
    </w:rPr>
  </w:style>
  <w:style w:type="paragraph" w:styleId="21">
    <w:name w:val="List Number"/>
    <w:basedOn w:val="22"/>
    <w:uiPriority w:val="0"/>
    <w:pPr>
      <w:widowControl/>
      <w:spacing w:beforeLines="10" w:line="312" w:lineRule="auto"/>
      <w:ind w:left="0" w:firstLine="0" w:firstLineChars="0"/>
    </w:pPr>
    <w:rPr>
      <w:rFonts w:ascii="Arial" w:hAnsi="Arial"/>
      <w:kern w:val="0"/>
    </w:rPr>
  </w:style>
  <w:style w:type="paragraph" w:styleId="22">
    <w:name w:val="List"/>
    <w:basedOn w:val="1"/>
    <w:uiPriority w:val="0"/>
    <w:pPr>
      <w:spacing w:line="360" w:lineRule="auto"/>
      <w:ind w:left="200" w:hanging="200" w:hangingChars="200"/>
    </w:pPr>
  </w:style>
  <w:style w:type="paragraph" w:styleId="23">
    <w:name w:val="caption"/>
    <w:basedOn w:val="1"/>
    <w:next w:val="1"/>
    <w:qFormat/>
    <w:locked/>
    <w:uiPriority w:val="0"/>
    <w:pPr>
      <w:spacing w:before="152" w:after="160"/>
    </w:pPr>
    <w:rPr>
      <w:rFonts w:ascii="Arial" w:hAnsi="Arial" w:eastAsia="黑体"/>
      <w:sz w:val="20"/>
    </w:rPr>
  </w:style>
  <w:style w:type="paragraph" w:styleId="24">
    <w:name w:val="index 5"/>
    <w:basedOn w:val="1"/>
    <w:next w:val="1"/>
    <w:uiPriority w:val="0"/>
    <w:pPr>
      <w:spacing w:line="300" w:lineRule="auto"/>
      <w:ind w:left="1680"/>
    </w:pPr>
    <w:rPr>
      <w:rFonts w:ascii="Arial" w:hAnsi="Arial"/>
    </w:rPr>
  </w:style>
  <w:style w:type="paragraph" w:styleId="25">
    <w:name w:val="List Bullet"/>
    <w:basedOn w:val="1"/>
    <w:uiPriority w:val="0"/>
    <w:pPr>
      <w:spacing w:line="300" w:lineRule="auto"/>
    </w:pPr>
    <w:rPr>
      <w:rFonts w:ascii="Arial" w:hAnsi="Arial"/>
    </w:rPr>
  </w:style>
  <w:style w:type="paragraph" w:styleId="26">
    <w:name w:val="Document Map"/>
    <w:basedOn w:val="1"/>
    <w:link w:val="129"/>
    <w:uiPriority w:val="0"/>
    <w:pPr>
      <w:shd w:val="clear" w:color="auto" w:fill="000080"/>
    </w:pPr>
  </w:style>
  <w:style w:type="paragraph" w:styleId="27">
    <w:name w:val="annotation text"/>
    <w:basedOn w:val="1"/>
    <w:link w:val="172"/>
    <w:unhideWhenUsed/>
    <w:qFormat/>
    <w:uiPriority w:val="0"/>
    <w:pPr>
      <w:jc w:val="left"/>
    </w:pPr>
  </w:style>
  <w:style w:type="paragraph" w:styleId="28">
    <w:name w:val="index 6"/>
    <w:basedOn w:val="1"/>
    <w:next w:val="1"/>
    <w:uiPriority w:val="0"/>
    <w:pPr>
      <w:spacing w:line="300" w:lineRule="auto"/>
      <w:ind w:left="2100"/>
    </w:pPr>
    <w:rPr>
      <w:rFonts w:ascii="Arial" w:hAnsi="Arial"/>
    </w:rPr>
  </w:style>
  <w:style w:type="paragraph" w:styleId="29">
    <w:name w:val="Body Text 3"/>
    <w:basedOn w:val="1"/>
    <w:link w:val="97"/>
    <w:uiPriority w:val="0"/>
    <w:pPr>
      <w:spacing w:after="120"/>
    </w:pPr>
    <w:rPr>
      <w:sz w:val="16"/>
      <w:szCs w:val="16"/>
    </w:rPr>
  </w:style>
  <w:style w:type="paragraph" w:styleId="30">
    <w:name w:val="List Bullet 3"/>
    <w:basedOn w:val="1"/>
    <w:uiPriority w:val="0"/>
    <w:pPr>
      <w:tabs>
        <w:tab w:val="left" w:pos="1152"/>
      </w:tabs>
      <w:spacing w:line="300" w:lineRule="auto"/>
      <w:ind w:left="1152" w:hanging="360"/>
    </w:pPr>
    <w:rPr>
      <w:rFonts w:ascii="Arial" w:hAnsi="Arial"/>
    </w:rPr>
  </w:style>
  <w:style w:type="paragraph" w:styleId="31">
    <w:name w:val="Body Text"/>
    <w:basedOn w:val="1"/>
    <w:link w:val="142"/>
    <w:qFormat/>
    <w:uiPriority w:val="0"/>
    <w:rPr>
      <w:sz w:val="20"/>
    </w:rPr>
  </w:style>
  <w:style w:type="paragraph" w:styleId="32">
    <w:name w:val="Body Text Indent"/>
    <w:basedOn w:val="1"/>
    <w:link w:val="177"/>
    <w:qFormat/>
    <w:uiPriority w:val="0"/>
    <w:pPr>
      <w:ind w:firstLine="576"/>
    </w:pPr>
    <w:rPr>
      <w:b/>
      <w:sz w:val="30"/>
    </w:rPr>
  </w:style>
  <w:style w:type="paragraph" w:styleId="33">
    <w:name w:val="List Number 3"/>
    <w:basedOn w:val="1"/>
    <w:uiPriority w:val="0"/>
    <w:pPr>
      <w:tabs>
        <w:tab w:val="left" w:pos="1200"/>
      </w:tabs>
      <w:spacing w:beforeLines="25" w:line="300" w:lineRule="auto"/>
      <w:ind w:left="1200" w:hanging="360"/>
    </w:pPr>
    <w:rPr>
      <w:rFonts w:ascii="Arial" w:hAnsi="Arial"/>
    </w:rPr>
  </w:style>
  <w:style w:type="paragraph" w:styleId="34">
    <w:name w:val="List 2"/>
    <w:basedOn w:val="1"/>
    <w:uiPriority w:val="0"/>
    <w:pPr>
      <w:spacing w:line="360" w:lineRule="auto"/>
      <w:ind w:left="100" w:leftChars="200" w:hanging="200" w:hangingChars="200"/>
    </w:pPr>
  </w:style>
  <w:style w:type="paragraph" w:styleId="35">
    <w:name w:val="List Continue"/>
    <w:basedOn w:val="1"/>
    <w:uiPriority w:val="0"/>
    <w:pPr>
      <w:spacing w:after="120" w:line="300" w:lineRule="auto"/>
      <w:ind w:left="420" w:leftChars="200"/>
    </w:pPr>
  </w:style>
  <w:style w:type="paragraph" w:styleId="36">
    <w:name w:val="Block Text"/>
    <w:basedOn w:val="1"/>
    <w:uiPriority w:val="0"/>
    <w:pPr>
      <w:topLinePunct/>
      <w:adjustRightInd w:val="0"/>
      <w:spacing w:after="120"/>
      <w:ind w:left="1440" w:leftChars="700" w:right="700" w:rightChars="700"/>
    </w:pPr>
  </w:style>
  <w:style w:type="paragraph" w:styleId="37">
    <w:name w:val="List Bullet 2"/>
    <w:basedOn w:val="1"/>
    <w:uiPriority w:val="0"/>
    <w:pPr>
      <w:tabs>
        <w:tab w:val="left" w:pos="780"/>
      </w:tabs>
      <w:spacing w:line="300" w:lineRule="auto"/>
      <w:ind w:left="780" w:hanging="360"/>
    </w:pPr>
    <w:rPr>
      <w:rFonts w:ascii="Arial" w:hAnsi="Arial"/>
    </w:rPr>
  </w:style>
  <w:style w:type="paragraph" w:styleId="38">
    <w:name w:val="HTML Address"/>
    <w:basedOn w:val="1"/>
    <w:link w:val="110"/>
    <w:uiPriority w:val="0"/>
    <w:pPr>
      <w:topLinePunct/>
      <w:adjustRightInd w:val="0"/>
    </w:pPr>
    <w:rPr>
      <w:i/>
    </w:rPr>
  </w:style>
  <w:style w:type="paragraph" w:styleId="39">
    <w:name w:val="index 4"/>
    <w:basedOn w:val="1"/>
    <w:next w:val="1"/>
    <w:uiPriority w:val="0"/>
    <w:pPr>
      <w:spacing w:line="300" w:lineRule="auto"/>
      <w:ind w:left="1260"/>
    </w:pPr>
    <w:rPr>
      <w:rFonts w:ascii="Arial" w:hAnsi="Arial"/>
    </w:rPr>
  </w:style>
  <w:style w:type="paragraph" w:styleId="40">
    <w:name w:val="toc 5"/>
    <w:basedOn w:val="1"/>
    <w:next w:val="1"/>
    <w:locked/>
    <w:uiPriority w:val="0"/>
    <w:pPr>
      <w:ind w:left="840"/>
      <w:jc w:val="left"/>
    </w:pPr>
    <w:rPr>
      <w:sz w:val="18"/>
      <w:szCs w:val="18"/>
    </w:rPr>
  </w:style>
  <w:style w:type="paragraph" w:styleId="41">
    <w:name w:val="toc 3"/>
    <w:basedOn w:val="1"/>
    <w:next w:val="1"/>
    <w:locked/>
    <w:uiPriority w:val="39"/>
    <w:pPr>
      <w:ind w:left="420"/>
      <w:jc w:val="left"/>
    </w:pPr>
    <w:rPr>
      <w:i/>
      <w:iCs/>
      <w:sz w:val="20"/>
    </w:rPr>
  </w:style>
  <w:style w:type="paragraph" w:styleId="42">
    <w:name w:val="Plain Text"/>
    <w:basedOn w:val="1"/>
    <w:link w:val="125"/>
    <w:uiPriority w:val="0"/>
    <w:rPr>
      <w:rFonts w:ascii="宋体" w:hAnsi="Courier New"/>
    </w:rPr>
  </w:style>
  <w:style w:type="paragraph" w:styleId="43">
    <w:name w:val="toc 8"/>
    <w:basedOn w:val="1"/>
    <w:next w:val="1"/>
    <w:locked/>
    <w:uiPriority w:val="0"/>
    <w:pPr>
      <w:ind w:left="1470"/>
      <w:jc w:val="left"/>
    </w:pPr>
    <w:rPr>
      <w:sz w:val="18"/>
      <w:szCs w:val="18"/>
    </w:rPr>
  </w:style>
  <w:style w:type="paragraph" w:styleId="44">
    <w:name w:val="index 3"/>
    <w:basedOn w:val="1"/>
    <w:next w:val="1"/>
    <w:uiPriority w:val="0"/>
    <w:pPr>
      <w:spacing w:line="300" w:lineRule="auto"/>
      <w:ind w:left="840"/>
    </w:pPr>
    <w:rPr>
      <w:rFonts w:ascii="Arial" w:hAnsi="Arial"/>
    </w:rPr>
  </w:style>
  <w:style w:type="paragraph" w:styleId="45">
    <w:name w:val="Date"/>
    <w:basedOn w:val="1"/>
    <w:next w:val="1"/>
    <w:link w:val="181"/>
    <w:uiPriority w:val="0"/>
    <w:pPr>
      <w:autoSpaceDE w:val="0"/>
      <w:autoSpaceDN w:val="0"/>
      <w:adjustRightInd w:val="0"/>
      <w:textAlignment w:val="baseline"/>
    </w:pPr>
    <w:rPr>
      <w:rFonts w:ascii="Arial" w:hAnsi="Arial"/>
    </w:rPr>
  </w:style>
  <w:style w:type="paragraph" w:styleId="46">
    <w:name w:val="Body Text Indent 2"/>
    <w:basedOn w:val="1"/>
    <w:link w:val="155"/>
    <w:uiPriority w:val="0"/>
    <w:pPr>
      <w:autoSpaceDE w:val="0"/>
      <w:autoSpaceDN w:val="0"/>
      <w:adjustRightInd w:val="0"/>
      <w:spacing w:line="360" w:lineRule="auto"/>
      <w:ind w:left="1080"/>
      <w:textAlignment w:val="baseline"/>
    </w:pPr>
  </w:style>
  <w:style w:type="paragraph" w:styleId="47">
    <w:name w:val="endnote text"/>
    <w:basedOn w:val="48"/>
    <w:link w:val="148"/>
    <w:uiPriority w:val="0"/>
  </w:style>
  <w:style w:type="paragraph" w:customStyle="1" w:styleId="48">
    <w:name w:val="基准页脚样式"/>
    <w:basedOn w:val="1"/>
    <w:uiPriority w:val="0"/>
    <w:pPr>
      <w:keepLines/>
      <w:widowControl/>
      <w:spacing w:line="220" w:lineRule="atLeast"/>
      <w:jc w:val="left"/>
    </w:pPr>
    <w:rPr>
      <w:rFonts w:ascii="Arial" w:hAnsi="Arial"/>
      <w:kern w:val="0"/>
      <w:sz w:val="18"/>
    </w:rPr>
  </w:style>
  <w:style w:type="paragraph" w:styleId="49">
    <w:name w:val="Balloon Text"/>
    <w:basedOn w:val="1"/>
    <w:link w:val="165"/>
    <w:unhideWhenUsed/>
    <w:qFormat/>
    <w:uiPriority w:val="0"/>
    <w:rPr>
      <w:sz w:val="18"/>
      <w:szCs w:val="18"/>
    </w:rPr>
  </w:style>
  <w:style w:type="paragraph" w:styleId="50">
    <w:name w:val="footer"/>
    <w:basedOn w:val="1"/>
    <w:link w:val="185"/>
    <w:qFormat/>
    <w:uiPriority w:val="0"/>
    <w:pPr>
      <w:tabs>
        <w:tab w:val="center" w:pos="4153"/>
        <w:tab w:val="right" w:pos="8306"/>
      </w:tabs>
      <w:snapToGrid w:val="0"/>
      <w:jc w:val="left"/>
    </w:pPr>
    <w:rPr>
      <w:kern w:val="0"/>
      <w:sz w:val="18"/>
      <w:szCs w:val="18"/>
    </w:rPr>
  </w:style>
  <w:style w:type="paragraph" w:styleId="51">
    <w:name w:val="header"/>
    <w:basedOn w:val="1"/>
    <w:link w:val="195"/>
    <w:qFormat/>
    <w:uiPriority w:val="99"/>
    <w:pPr>
      <w:pBdr>
        <w:bottom w:val="single" w:color="auto" w:sz="6" w:space="1"/>
      </w:pBdr>
      <w:tabs>
        <w:tab w:val="center" w:pos="4153"/>
        <w:tab w:val="right" w:pos="8306"/>
      </w:tabs>
      <w:snapToGrid w:val="0"/>
      <w:jc w:val="center"/>
    </w:pPr>
    <w:rPr>
      <w:kern w:val="0"/>
      <w:sz w:val="18"/>
      <w:szCs w:val="18"/>
    </w:rPr>
  </w:style>
  <w:style w:type="paragraph" w:styleId="52">
    <w:name w:val="toc 1"/>
    <w:basedOn w:val="1"/>
    <w:next w:val="1"/>
    <w:locked/>
    <w:uiPriority w:val="39"/>
    <w:pPr>
      <w:spacing w:before="120" w:after="120"/>
      <w:jc w:val="left"/>
    </w:pPr>
    <w:rPr>
      <w:b/>
      <w:bCs/>
      <w:caps/>
      <w:sz w:val="20"/>
    </w:rPr>
  </w:style>
  <w:style w:type="paragraph" w:styleId="53">
    <w:name w:val="List Continue 4"/>
    <w:basedOn w:val="1"/>
    <w:uiPriority w:val="0"/>
    <w:pPr>
      <w:spacing w:after="120" w:line="300" w:lineRule="auto"/>
      <w:ind w:left="1680" w:leftChars="800"/>
    </w:pPr>
    <w:rPr>
      <w:rFonts w:ascii="Arial" w:hAnsi="Arial"/>
    </w:rPr>
  </w:style>
  <w:style w:type="paragraph" w:styleId="54">
    <w:name w:val="toc 4"/>
    <w:basedOn w:val="1"/>
    <w:next w:val="1"/>
    <w:locked/>
    <w:uiPriority w:val="0"/>
    <w:pPr>
      <w:ind w:left="630"/>
      <w:jc w:val="left"/>
    </w:pPr>
    <w:rPr>
      <w:sz w:val="18"/>
      <w:szCs w:val="18"/>
    </w:rPr>
  </w:style>
  <w:style w:type="paragraph" w:styleId="55">
    <w:name w:val="index heading"/>
    <w:basedOn w:val="1"/>
    <w:next w:val="56"/>
    <w:uiPriority w:val="0"/>
    <w:pPr>
      <w:spacing w:line="300" w:lineRule="auto"/>
      <w:jc w:val="center"/>
    </w:pPr>
    <w:rPr>
      <w:rFonts w:ascii="Arial" w:hAnsi="Arial" w:eastAsia="黑体"/>
      <w:b/>
      <w:sz w:val="32"/>
    </w:rPr>
  </w:style>
  <w:style w:type="paragraph" w:styleId="56">
    <w:name w:val="index 1"/>
    <w:basedOn w:val="1"/>
    <w:next w:val="1"/>
    <w:unhideWhenUsed/>
    <w:uiPriority w:val="0"/>
  </w:style>
  <w:style w:type="paragraph" w:styleId="57">
    <w:name w:val="Subtitle"/>
    <w:basedOn w:val="58"/>
    <w:next w:val="1"/>
    <w:link w:val="198"/>
    <w:qFormat/>
    <w:locked/>
    <w:uiPriority w:val="0"/>
    <w:pPr>
      <w:topLinePunct w:val="0"/>
      <w:adjustRightInd/>
      <w:snapToGrid w:val="0"/>
      <w:spacing w:before="360" w:after="680"/>
    </w:pPr>
    <w:rPr>
      <w:rFonts w:eastAsia="黑体"/>
      <w:b w:val="0"/>
      <w:sz w:val="48"/>
    </w:rPr>
  </w:style>
  <w:style w:type="paragraph" w:styleId="58">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9">
    <w:name w:val="footnote text"/>
    <w:basedOn w:val="1"/>
    <w:link w:val="146"/>
    <w:uiPriority w:val="0"/>
    <w:pPr>
      <w:topLinePunct/>
      <w:adjustRightInd w:val="0"/>
      <w:snapToGrid w:val="0"/>
      <w:jc w:val="left"/>
    </w:pPr>
    <w:rPr>
      <w:sz w:val="18"/>
    </w:rPr>
  </w:style>
  <w:style w:type="paragraph" w:styleId="60">
    <w:name w:val="toc 6"/>
    <w:basedOn w:val="1"/>
    <w:next w:val="1"/>
    <w:locked/>
    <w:uiPriority w:val="0"/>
    <w:pPr>
      <w:ind w:left="1050"/>
      <w:jc w:val="left"/>
    </w:pPr>
    <w:rPr>
      <w:sz w:val="18"/>
      <w:szCs w:val="18"/>
    </w:rPr>
  </w:style>
  <w:style w:type="paragraph" w:styleId="61">
    <w:name w:val="Body Text Indent 3"/>
    <w:basedOn w:val="1"/>
    <w:link w:val="108"/>
    <w:uiPriority w:val="0"/>
    <w:pPr>
      <w:tabs>
        <w:tab w:val="left" w:pos="600"/>
      </w:tabs>
      <w:spacing w:line="360" w:lineRule="auto"/>
      <w:ind w:firstLine="420"/>
    </w:pPr>
    <w:rPr>
      <w:sz w:val="24"/>
    </w:rPr>
  </w:style>
  <w:style w:type="paragraph" w:styleId="62">
    <w:name w:val="index 7"/>
    <w:basedOn w:val="1"/>
    <w:next w:val="1"/>
    <w:uiPriority w:val="0"/>
    <w:pPr>
      <w:spacing w:line="300" w:lineRule="auto"/>
      <w:ind w:left="2520"/>
    </w:pPr>
    <w:rPr>
      <w:rFonts w:ascii="Arial" w:hAnsi="Arial"/>
    </w:rPr>
  </w:style>
  <w:style w:type="paragraph" w:styleId="63">
    <w:name w:val="index 9"/>
    <w:basedOn w:val="1"/>
    <w:next w:val="1"/>
    <w:uiPriority w:val="0"/>
    <w:pPr>
      <w:spacing w:line="300" w:lineRule="auto"/>
      <w:ind w:left="3360"/>
    </w:pPr>
    <w:rPr>
      <w:rFonts w:ascii="Arial" w:hAnsi="Arial"/>
    </w:rPr>
  </w:style>
  <w:style w:type="paragraph" w:styleId="64">
    <w:name w:val="table of figures"/>
    <w:basedOn w:val="1"/>
    <w:next w:val="1"/>
    <w:uiPriority w:val="0"/>
    <w:pPr>
      <w:spacing w:line="300" w:lineRule="auto"/>
      <w:ind w:left="840" w:hanging="420"/>
    </w:pPr>
    <w:rPr>
      <w:rFonts w:ascii="Arial" w:hAnsi="Arial"/>
    </w:rPr>
  </w:style>
  <w:style w:type="paragraph" w:styleId="65">
    <w:name w:val="toc 2"/>
    <w:basedOn w:val="1"/>
    <w:next w:val="1"/>
    <w:locked/>
    <w:uiPriority w:val="39"/>
    <w:pPr>
      <w:tabs>
        <w:tab w:val="right" w:leader="dot" w:pos="9060"/>
      </w:tabs>
      <w:spacing w:line="396" w:lineRule="auto"/>
      <w:ind w:left="210"/>
      <w:jc w:val="left"/>
    </w:pPr>
    <w:rPr>
      <w:smallCaps/>
      <w:sz w:val="20"/>
    </w:rPr>
  </w:style>
  <w:style w:type="paragraph" w:styleId="66">
    <w:name w:val="toc 9"/>
    <w:basedOn w:val="1"/>
    <w:next w:val="1"/>
    <w:locked/>
    <w:uiPriority w:val="0"/>
    <w:pPr>
      <w:ind w:left="1680"/>
      <w:jc w:val="left"/>
    </w:pPr>
    <w:rPr>
      <w:sz w:val="18"/>
      <w:szCs w:val="18"/>
    </w:rPr>
  </w:style>
  <w:style w:type="paragraph" w:styleId="67">
    <w:name w:val="Body Text 2"/>
    <w:basedOn w:val="1"/>
    <w:link w:val="98"/>
    <w:unhideWhenUsed/>
    <w:qFormat/>
    <w:uiPriority w:val="0"/>
    <w:pPr>
      <w:spacing w:after="120" w:line="480" w:lineRule="auto"/>
    </w:pPr>
  </w:style>
  <w:style w:type="paragraph" w:styleId="68">
    <w:name w:val="List Continue 2"/>
    <w:basedOn w:val="1"/>
    <w:uiPriority w:val="0"/>
    <w:pPr>
      <w:spacing w:beforeLines="10" w:line="312" w:lineRule="auto"/>
      <w:ind w:left="380" w:leftChars="380"/>
    </w:pPr>
    <w:rPr>
      <w:rFonts w:ascii="Arial" w:hAnsi="Arial"/>
    </w:rPr>
  </w:style>
  <w:style w:type="paragraph" w:styleId="69">
    <w:name w:val="HTML Preformatted"/>
    <w:basedOn w:val="1"/>
    <w:link w:val="130"/>
    <w:uiPriority w:val="0"/>
    <w:pPr>
      <w:topLinePunct/>
      <w:adjustRightInd w:val="0"/>
    </w:pPr>
    <w:rPr>
      <w:rFonts w:ascii="Courier New" w:hAnsi="Courier New"/>
      <w:sz w:val="20"/>
    </w:rPr>
  </w:style>
  <w:style w:type="paragraph" w:styleId="7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1">
    <w:name w:val="List Continue 3"/>
    <w:basedOn w:val="1"/>
    <w:uiPriority w:val="0"/>
    <w:pPr>
      <w:spacing w:beforeLines="10" w:afterLines="10" w:line="300" w:lineRule="auto"/>
      <w:ind w:left="550" w:leftChars="550"/>
    </w:pPr>
    <w:rPr>
      <w:rFonts w:ascii="Arial" w:hAnsi="Arial"/>
    </w:rPr>
  </w:style>
  <w:style w:type="paragraph" w:styleId="72">
    <w:name w:val="index 2"/>
    <w:basedOn w:val="1"/>
    <w:next w:val="1"/>
    <w:uiPriority w:val="0"/>
    <w:pPr>
      <w:spacing w:line="300" w:lineRule="auto"/>
      <w:ind w:left="420"/>
    </w:pPr>
    <w:rPr>
      <w:rFonts w:ascii="Arial" w:hAnsi="Arial"/>
    </w:rPr>
  </w:style>
  <w:style w:type="paragraph" w:styleId="73">
    <w:name w:val="annotation subject"/>
    <w:basedOn w:val="27"/>
    <w:next w:val="27"/>
    <w:link w:val="138"/>
    <w:unhideWhenUsed/>
    <w:qFormat/>
    <w:uiPriority w:val="0"/>
    <w:rPr>
      <w:b/>
      <w:bCs/>
    </w:rPr>
  </w:style>
  <w:style w:type="paragraph" w:styleId="74">
    <w:name w:val="Body Text First Indent 2"/>
    <w:basedOn w:val="32"/>
    <w:link w:val="94"/>
    <w:uiPriority w:val="0"/>
    <w:pPr>
      <w:spacing w:after="120"/>
      <w:ind w:left="420" w:leftChars="200" w:firstLine="420" w:firstLineChars="200"/>
    </w:pPr>
    <w:rPr>
      <w:sz w:val="21"/>
    </w:rPr>
  </w:style>
  <w:style w:type="table" w:styleId="76">
    <w:name w:val="Table Grid"/>
    <w:basedOn w:val="75"/>
    <w:qFormat/>
    <w:uiPriority w:val="59"/>
    <w:tblPr>
      <w:tblStyle w:val="7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uiPriority w:val="0"/>
    <w:rPr>
      <w:color w:val="800080"/>
      <w:u w:val="single"/>
    </w:rPr>
  </w:style>
  <w:style w:type="character" w:styleId="82">
    <w:name w:val="Emphasis"/>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正文首行缩进 2 Char"/>
    <w:link w:val="74"/>
    <w:uiPriority w:val="0"/>
    <w:rPr>
      <w:rFonts w:ascii="Times New Roman" w:hAnsi="Times New Roman"/>
      <w:b/>
      <w:kern w:val="2"/>
      <w:sz w:val="21"/>
    </w:rPr>
  </w:style>
  <w:style w:type="character" w:customStyle="1" w:styleId="95">
    <w:name w:val="样式1 正文（首行缩进2字） Char + 首行缩进:  2 字符 段前: 0 行 Char Char"/>
    <w:link w:val="96"/>
    <w:uiPriority w:val="0"/>
    <w:rPr>
      <w:rFonts w:hAnsi="Arial"/>
      <w:kern w:val="2"/>
      <w:sz w:val="21"/>
    </w:rPr>
  </w:style>
  <w:style w:type="paragraph" w:customStyle="1" w:styleId="96">
    <w:name w:val="样式1 正文（首行缩进2字） Char + 首行缩进:  2 字符 段前: 0 行"/>
    <w:basedOn w:val="1"/>
    <w:next w:val="1"/>
    <w:link w:val="95"/>
    <w:uiPriority w:val="0"/>
    <w:pPr>
      <w:spacing w:line="276" w:lineRule="auto"/>
      <w:ind w:firstLine="420" w:firstLineChars="200"/>
    </w:pPr>
    <w:rPr>
      <w:rFonts w:hAnsi="Arial"/>
    </w:rPr>
  </w:style>
  <w:style w:type="character" w:customStyle="1" w:styleId="97">
    <w:name w:val="正文文本 3 Char"/>
    <w:link w:val="29"/>
    <w:uiPriority w:val="0"/>
    <w:rPr>
      <w:kern w:val="2"/>
      <w:sz w:val="16"/>
      <w:szCs w:val="16"/>
    </w:rPr>
  </w:style>
  <w:style w:type="character" w:customStyle="1" w:styleId="98">
    <w:name w:val="正文文本 2 Char"/>
    <w:link w:val="67"/>
    <w:qFormat/>
    <w:uiPriority w:val="0"/>
    <w:rPr>
      <w:kern w:val="2"/>
      <w:sz w:val="21"/>
    </w:rPr>
  </w:style>
  <w:style w:type="character" w:customStyle="1" w:styleId="99">
    <w:name w:val="标题 5 Char"/>
    <w:link w:val="8"/>
    <w:uiPriority w:val="0"/>
    <w:rPr>
      <w:rFonts w:ascii="Times New Roman" w:hAnsi="Times New Roman"/>
      <w:b/>
      <w:kern w:val="2"/>
      <w:sz w:val="28"/>
    </w:rPr>
  </w:style>
  <w:style w:type="character" w:customStyle="1" w:styleId="100">
    <w:name w:val="明显参考1"/>
    <w:qFormat/>
    <w:uiPriority w:val="99"/>
    <w:rPr>
      <w:rFonts w:cs="Times New Roman"/>
      <w:b/>
      <w:bCs/>
      <w:smallCaps/>
      <w:color w:val="C0504D"/>
      <w:spacing w:val="5"/>
      <w:u w:val="single"/>
    </w:rPr>
  </w:style>
  <w:style w:type="character" w:customStyle="1" w:styleId="101">
    <w:name w:val="Lincer表格样式 Char Char"/>
    <w:link w:val="102"/>
    <w:uiPriority w:val="0"/>
    <w:rPr>
      <w:kern w:val="2"/>
      <w:sz w:val="21"/>
    </w:rPr>
  </w:style>
  <w:style w:type="paragraph" w:customStyle="1" w:styleId="102">
    <w:name w:val="Lincer表格样式"/>
    <w:basedOn w:val="1"/>
    <w:link w:val="101"/>
    <w:uiPriority w:val="0"/>
    <w:pPr>
      <w:ind w:left="344" w:hanging="344" w:hangingChars="164"/>
    </w:pPr>
  </w:style>
  <w:style w:type="character" w:customStyle="1" w:styleId="103">
    <w:name w:val="附录三 Char Char"/>
    <w:link w:val="104"/>
    <w:uiPriority w:val="0"/>
    <w:rPr>
      <w:rFonts w:ascii="E-F1" w:eastAsia="黑体"/>
      <w:kern w:val="21"/>
      <w:sz w:val="21"/>
    </w:rPr>
  </w:style>
  <w:style w:type="paragraph" w:customStyle="1" w:styleId="104">
    <w:name w:val="附录三"/>
    <w:basedOn w:val="1"/>
    <w:link w:val="103"/>
    <w:uiPriority w:val="0"/>
    <w:pPr>
      <w:tabs>
        <w:tab w:val="center" w:pos="4706"/>
        <w:tab w:val="right" w:pos="9072"/>
      </w:tabs>
      <w:spacing w:before="120" w:after="60" w:line="312" w:lineRule="exact"/>
    </w:pPr>
    <w:rPr>
      <w:rFonts w:ascii="E-F1" w:eastAsia="黑体"/>
      <w:kern w:val="21"/>
    </w:rPr>
  </w:style>
  <w:style w:type="character" w:customStyle="1" w:styleId="105">
    <w:name w:val="标题 4 Char"/>
    <w:link w:val="7"/>
    <w:uiPriority w:val="0"/>
    <w:rPr>
      <w:rFonts w:ascii="Times New Roman" w:hAnsi="Times New Roman"/>
      <w:kern w:val="2"/>
      <w:sz w:val="18"/>
      <w:szCs w:val="18"/>
    </w:rPr>
  </w:style>
  <w:style w:type="character" w:customStyle="1" w:styleId="106">
    <w:name w:val="科东_正文 Char Char"/>
    <w:link w:val="107"/>
    <w:uiPriority w:val="0"/>
    <w:rPr>
      <w:kern w:val="2"/>
      <w:sz w:val="24"/>
    </w:rPr>
  </w:style>
  <w:style w:type="paragraph" w:customStyle="1" w:styleId="107">
    <w:name w:val="科东_正文"/>
    <w:basedOn w:val="1"/>
    <w:link w:val="106"/>
    <w:uiPriority w:val="0"/>
    <w:pPr>
      <w:spacing w:line="360" w:lineRule="auto"/>
      <w:ind w:firstLine="200" w:firstLineChars="200"/>
    </w:pPr>
    <w:rPr>
      <w:sz w:val="24"/>
    </w:rPr>
  </w:style>
  <w:style w:type="character" w:customStyle="1" w:styleId="108">
    <w:name w:val="正文文本缩进 3 Char"/>
    <w:link w:val="61"/>
    <w:uiPriority w:val="0"/>
    <w:rPr>
      <w:rFonts w:ascii="Times New Roman" w:hAnsi="Times New Roman"/>
      <w:kern w:val="2"/>
      <w:sz w:val="24"/>
    </w:rPr>
  </w:style>
  <w:style w:type="character" w:customStyle="1" w:styleId="109">
    <w:name w:val="样式 宋体"/>
    <w:uiPriority w:val="0"/>
    <w:rPr>
      <w:rFonts w:ascii="宋体" w:eastAsia="宋体"/>
      <w:sz w:val="18"/>
    </w:rPr>
  </w:style>
  <w:style w:type="character" w:customStyle="1" w:styleId="110">
    <w:name w:val="HTML 地址 Char"/>
    <w:link w:val="38"/>
    <w:uiPriority w:val="0"/>
    <w:rPr>
      <w:rFonts w:ascii="Times New Roman" w:hAnsi="Times New Roman"/>
      <w:i/>
      <w:kern w:val="2"/>
      <w:sz w:val="21"/>
    </w:rPr>
  </w:style>
  <w:style w:type="character" w:customStyle="1" w:styleId="111">
    <w:name w:val="样式1 Char"/>
    <w:link w:val="112"/>
    <w:locked/>
    <w:uiPriority w:val="0"/>
    <w:rPr>
      <w:rFonts w:ascii="Times New Roman" w:hAnsi="Times New Roman"/>
      <w:kern w:val="2"/>
      <w:sz w:val="28"/>
      <w:szCs w:val="24"/>
    </w:rPr>
  </w:style>
  <w:style w:type="paragraph" w:customStyle="1" w:styleId="112">
    <w:name w:val="样式1"/>
    <w:basedOn w:val="1"/>
    <w:link w:val="111"/>
    <w:uiPriority w:val="0"/>
    <w:rPr>
      <w:sz w:val="28"/>
      <w:szCs w:val="24"/>
    </w:rPr>
  </w:style>
  <w:style w:type="character" w:customStyle="1" w:styleId="113">
    <w:name w:val="Reference"/>
    <w:uiPriority w:val="0"/>
    <w:rPr>
      <w:rFonts w:ascii="Arial" w:hAnsi="Arial"/>
      <w:sz w:val="20"/>
      <w:lang w:val="en-US" w:eastAsia="zh-CN"/>
    </w:rPr>
  </w:style>
  <w:style w:type="character" w:customStyle="1" w:styleId="114">
    <w:name w:val="样式2 Char Char"/>
    <w:link w:val="115"/>
    <w:uiPriority w:val="0"/>
    <w:rPr>
      <w:rFonts w:ascii="Times New Roman" w:hAnsi="Times New Roman"/>
      <w:kern w:val="2"/>
      <w:sz w:val="28"/>
      <w:szCs w:val="24"/>
    </w:rPr>
  </w:style>
  <w:style w:type="paragraph" w:customStyle="1" w:styleId="115">
    <w:name w:val="样式2"/>
    <w:basedOn w:val="112"/>
    <w:link w:val="114"/>
    <w:uiPriority w:val="0"/>
  </w:style>
  <w:style w:type="character" w:customStyle="1" w:styleId="116">
    <w:name w:val="发布"/>
    <w:uiPriority w:val="0"/>
    <w:rPr>
      <w:rFonts w:ascii="黑体" w:eastAsia="黑体"/>
      <w:spacing w:val="22"/>
      <w:w w:val="100"/>
      <w:position w:val="3"/>
      <w:sz w:val="28"/>
    </w:rPr>
  </w:style>
  <w:style w:type="character" w:customStyle="1" w:styleId="117">
    <w:name w:val="short_text"/>
    <w:basedOn w:val="77"/>
    <w:uiPriority w:val="0"/>
  </w:style>
  <w:style w:type="character" w:customStyle="1" w:styleId="118">
    <w:name w:val="标题 Char"/>
    <w:link w:val="58"/>
    <w:uiPriority w:val="0"/>
    <w:rPr>
      <w:rFonts w:ascii="Arial" w:hAnsi="Arial"/>
      <w:b/>
      <w:kern w:val="2"/>
      <w:sz w:val="32"/>
    </w:rPr>
  </w:style>
  <w:style w:type="character" w:customStyle="1" w:styleId="119">
    <w:name w:val="样式1 样式 标题 2 + 段前: 0行 Char Char"/>
    <w:uiPriority w:val="0"/>
    <w:rPr>
      <w:rFonts w:eastAsia="黑体"/>
      <w:b/>
      <w:kern w:val="2"/>
      <w:sz w:val="21"/>
      <w:lang w:val="en-US" w:eastAsia="zh-CN"/>
    </w:rPr>
  </w:style>
  <w:style w:type="character" w:customStyle="1" w:styleId="120">
    <w:name w:val="msoins"/>
    <w:uiPriority w:val="0"/>
    <w:rPr>
      <w:u w:val="single"/>
    </w:rPr>
  </w:style>
  <w:style w:type="character" w:customStyle="1" w:styleId="121">
    <w:name w:val="样式 a首行缩进:  2 字符 段前: 0 行 Char Char"/>
    <w:link w:val="122"/>
    <w:uiPriority w:val="0"/>
    <w:rPr>
      <w:sz w:val="21"/>
    </w:rPr>
  </w:style>
  <w:style w:type="paragraph" w:customStyle="1" w:styleId="122">
    <w:name w:val="样式 a首行缩进:  2 字符 段前: 0 行"/>
    <w:basedOn w:val="1"/>
    <w:link w:val="121"/>
    <w:uiPriority w:val="0"/>
    <w:pPr>
      <w:adjustRightInd w:val="0"/>
      <w:spacing w:afterLines="50"/>
      <w:jc w:val="left"/>
      <w:textAlignment w:val="baseline"/>
    </w:pPr>
    <w:rPr>
      <w:kern w:val="0"/>
    </w:rPr>
  </w:style>
  <w:style w:type="character" w:customStyle="1" w:styleId="123">
    <w:name w:val="样式 正文缩进正文缩进 Char正文（首行缩进两字） Char Char正文（首行缩进两字） Char1正文（首行缩进两...1 Char Char"/>
    <w:link w:val="124"/>
    <w:uiPriority w:val="0"/>
    <w:rPr>
      <w:kern w:val="2"/>
      <w:sz w:val="21"/>
    </w:rPr>
  </w:style>
  <w:style w:type="paragraph" w:customStyle="1" w:styleId="124">
    <w:name w:val="样式 正文缩进正文缩进 Char正文（首行缩进两字） Char Char正文（首行缩进两字） Char1正文（首行缩进两...1"/>
    <w:basedOn w:val="1"/>
    <w:link w:val="123"/>
    <w:uiPriority w:val="0"/>
    <w:pPr>
      <w:spacing w:beforeLines="10" w:line="312" w:lineRule="auto"/>
      <w:ind w:firstLine="200" w:firstLineChars="200"/>
    </w:pPr>
  </w:style>
  <w:style w:type="character" w:customStyle="1" w:styleId="125">
    <w:name w:val="纯文本 Char"/>
    <w:link w:val="42"/>
    <w:uiPriority w:val="0"/>
    <w:rPr>
      <w:rFonts w:ascii="宋体" w:hAnsi="Courier New"/>
      <w:kern w:val="2"/>
      <w:sz w:val="21"/>
    </w:rPr>
  </w:style>
  <w:style w:type="character" w:customStyle="1" w:styleId="126">
    <w:name w:val="标题 8 Char"/>
    <w:link w:val="11"/>
    <w:uiPriority w:val="0"/>
    <w:rPr>
      <w:rFonts w:ascii="宋体" w:hAnsi="Times New Roman"/>
      <w:b/>
      <w:sz w:val="21"/>
    </w:rPr>
  </w:style>
  <w:style w:type="character" w:customStyle="1" w:styleId="127">
    <w:name w:val="H1 Char"/>
    <w:aliases w:val="标题 1 Char Char Char Char Char Char Char Char Char Char,H11 Char,H12 Char,H13 Char,H14 Char,H15 Char,H16 Char,H17 Char,H18 Char,H19 Char,H110 Char,H111 Char,H112 Char,H121 Char,H131 Char,H141 Char,H151 Char,H161 Char,H171 Char,H181 Char,H191 Char"/>
    <w:uiPriority w:val="0"/>
    <w:rPr>
      <w:rFonts w:ascii="Arial" w:hAnsi="Arial" w:eastAsia="黑体"/>
      <w:kern w:val="21"/>
      <w:sz w:val="21"/>
      <w:lang w:val="en-US" w:eastAsia="zh-CN"/>
    </w:rPr>
  </w:style>
  <w:style w:type="character" w:customStyle="1" w:styleId="128">
    <w:name w:val="批注文字 Char1"/>
    <w:uiPriority w:val="0"/>
    <w:rPr>
      <w:sz w:val="24"/>
    </w:rPr>
  </w:style>
  <w:style w:type="character" w:customStyle="1" w:styleId="129">
    <w:name w:val="文档结构图 Char"/>
    <w:link w:val="26"/>
    <w:uiPriority w:val="0"/>
    <w:rPr>
      <w:rFonts w:ascii="Times New Roman" w:hAnsi="Times New Roman"/>
      <w:kern w:val="2"/>
      <w:sz w:val="21"/>
      <w:shd w:val="clear" w:color="auto" w:fill="000080"/>
    </w:rPr>
  </w:style>
  <w:style w:type="character" w:customStyle="1" w:styleId="130">
    <w:name w:val="HTML 预设格式 Char"/>
    <w:link w:val="69"/>
    <w:uiPriority w:val="0"/>
    <w:rPr>
      <w:rFonts w:ascii="Courier New" w:hAnsi="Courier New"/>
      <w:kern w:val="2"/>
    </w:rPr>
  </w:style>
  <w:style w:type="character" w:customStyle="1" w:styleId="131">
    <w:name w:val="style251"/>
    <w:uiPriority w:val="0"/>
    <w:rPr>
      <w:rFonts w:eastAsia="宋体"/>
      <w:kern w:val="2"/>
      <w:sz w:val="21"/>
      <w:lang w:val="en-US" w:eastAsia="zh-CN"/>
    </w:rPr>
  </w:style>
  <w:style w:type="character" w:customStyle="1" w:styleId="132">
    <w:name w:val="样式1 悬挂缩进: 4 字符 段前: 0.1 行，小五 Char Char"/>
    <w:link w:val="133"/>
    <w:uiPriority w:val="0"/>
    <w:rPr>
      <w:kern w:val="2"/>
      <w:sz w:val="18"/>
    </w:rPr>
  </w:style>
  <w:style w:type="paragraph" w:customStyle="1" w:styleId="133">
    <w:name w:val="样式1 悬挂缩进: 4 字符 段前: 0.1 行，小五"/>
    <w:basedOn w:val="1"/>
    <w:link w:val="132"/>
    <w:uiPriority w:val="0"/>
    <w:pPr>
      <w:spacing w:beforeLines="10" w:line="312" w:lineRule="auto"/>
      <w:ind w:left="400" w:leftChars="400"/>
    </w:pPr>
    <w:rPr>
      <w:sz w:val="18"/>
    </w:rPr>
  </w:style>
  <w:style w:type="character" w:customStyle="1" w:styleId="134">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35"/>
    <w:uiPriority w:val="0"/>
    <w:rPr>
      <w:rFonts w:ascii="Times New Roman" w:hAnsi="Times New Roman"/>
      <w:kern w:val="2"/>
      <w:sz w:val="28"/>
      <w:szCs w:val="24"/>
    </w:rPr>
  </w:style>
  <w:style w:type="paragraph" w:customStyle="1" w:styleId="135">
    <w:name w:val="正文1"/>
    <w:basedOn w:val="112"/>
    <w:link w:val="134"/>
    <w:uiPriority w:val="0"/>
  </w:style>
  <w:style w:type="character" w:customStyle="1" w:styleId="136">
    <w:name w:val="样式 标题 1 + 加粗 Char"/>
    <w:uiPriority w:val="0"/>
    <w:rPr>
      <w:rFonts w:ascii="Times New Roman" w:hAnsi="Times New Roman" w:eastAsia="黑体"/>
      <w:b/>
      <w:bCs/>
      <w:color w:val="000000"/>
      <w:kern w:val="2"/>
      <w:sz w:val="28"/>
      <w:szCs w:val="28"/>
      <w:lang w:val="en-US" w:eastAsia="zh-CN" w:bidi="ar-SA"/>
    </w:rPr>
  </w:style>
  <w:style w:type="character" w:customStyle="1" w:styleId="137">
    <w:name w:val="注释标题 Char"/>
    <w:link w:val="18"/>
    <w:uiPriority w:val="0"/>
    <w:rPr>
      <w:rFonts w:ascii="Arial" w:hAnsi="Arial" w:eastAsia="黑体"/>
      <w:kern w:val="2"/>
      <w:sz w:val="21"/>
    </w:rPr>
  </w:style>
  <w:style w:type="character" w:customStyle="1" w:styleId="138">
    <w:name w:val="批注主题 Char"/>
    <w:link w:val="73"/>
    <w:qFormat/>
    <w:uiPriority w:val="0"/>
    <w:rPr>
      <w:b/>
      <w:bCs/>
      <w:kern w:val="2"/>
      <w:sz w:val="21"/>
    </w:rPr>
  </w:style>
  <w:style w:type="character" w:customStyle="1" w:styleId="139">
    <w:name w:val="正文首行缩进 Char"/>
    <w:link w:val="2"/>
    <w:uiPriority w:val="0"/>
    <w:rPr>
      <w:rFonts w:ascii="Times New Roman" w:hAnsi="Times New Roman"/>
      <w:kern w:val="2"/>
      <w:sz w:val="21"/>
    </w:rPr>
  </w:style>
  <w:style w:type="character" w:customStyle="1" w:styleId="140">
    <w:name w:val="样式 样式 正文缩进正文缩进 Char正文（首行缩进两字） Char Char正文（首行缩进两字） Char1正文（首行缩进两.... Char Char"/>
    <w:basedOn w:val="123"/>
    <w:link w:val="141"/>
    <w:uiPriority w:val="0"/>
  </w:style>
  <w:style w:type="paragraph" w:customStyle="1" w:styleId="141">
    <w:name w:val="样式 样式 正文缩进正文缩进 Char正文（首行缩进两字） Char Char正文（首行缩进两字） Char1正文（首行缩进两...."/>
    <w:basedOn w:val="124"/>
    <w:link w:val="140"/>
    <w:uiPriority w:val="0"/>
    <w:pPr>
      <w:spacing w:line="300" w:lineRule="auto"/>
    </w:pPr>
    <w:rPr>
      <w:rFonts w:ascii="Calibri" w:hAnsi="Calibri"/>
    </w:rPr>
  </w:style>
  <w:style w:type="character" w:customStyle="1" w:styleId="142">
    <w:name w:val="正文文本 Char"/>
    <w:link w:val="31"/>
    <w:uiPriority w:val="0"/>
    <w:rPr>
      <w:rFonts w:ascii="Times New Roman" w:hAnsi="Times New Roman"/>
      <w:kern w:val="2"/>
    </w:rPr>
  </w:style>
  <w:style w:type="character" w:customStyle="1" w:styleId="143">
    <w:name w:val="段 Char Char"/>
    <w:link w:val="144"/>
    <w:uiPriority w:val="0"/>
    <w:rPr>
      <w:rFonts w:ascii="宋体"/>
      <w:sz w:val="21"/>
      <w:lang w:val="en-US" w:eastAsia="zh-CN" w:bidi="ar-SA"/>
    </w:rPr>
  </w:style>
  <w:style w:type="paragraph" w:customStyle="1" w:styleId="144">
    <w:name w:val="段"/>
    <w:link w:val="143"/>
    <w:uiPriority w:val="0"/>
    <w:pPr>
      <w:autoSpaceDE w:val="0"/>
      <w:autoSpaceDN w:val="0"/>
      <w:ind w:firstLine="200" w:firstLineChars="200"/>
      <w:jc w:val="both"/>
    </w:pPr>
    <w:rPr>
      <w:rFonts w:ascii="宋体"/>
      <w:sz w:val="21"/>
      <w:lang w:val="en-US" w:eastAsia="zh-CN" w:bidi="ar-SA"/>
    </w:rPr>
  </w:style>
  <w:style w:type="character" w:customStyle="1" w:styleId="145">
    <w:name w:val="标题 6 Char"/>
    <w:link w:val="9"/>
    <w:uiPriority w:val="0"/>
    <w:rPr>
      <w:rFonts w:ascii="Arial" w:hAnsi="Arial" w:eastAsia="黑体"/>
      <w:b/>
      <w:kern w:val="2"/>
      <w:sz w:val="24"/>
    </w:rPr>
  </w:style>
  <w:style w:type="character" w:customStyle="1" w:styleId="146">
    <w:name w:val="脚注文本 Char"/>
    <w:link w:val="59"/>
    <w:uiPriority w:val="0"/>
    <w:rPr>
      <w:rFonts w:ascii="Times New Roman" w:hAnsi="Times New Roman"/>
      <w:kern w:val="2"/>
      <w:sz w:val="18"/>
    </w:rPr>
  </w:style>
  <w:style w:type="character" w:customStyle="1" w:styleId="147">
    <w:name w:val="宏文本 Char"/>
    <w:link w:val="3"/>
    <w:uiPriority w:val="0"/>
    <w:rPr>
      <w:rFonts w:ascii="Courier New" w:hAnsi="Courier New"/>
      <w:sz w:val="21"/>
    </w:rPr>
  </w:style>
  <w:style w:type="character" w:customStyle="1" w:styleId="148">
    <w:name w:val="尾注文本 Char"/>
    <w:link w:val="47"/>
    <w:uiPriority w:val="0"/>
    <w:rPr>
      <w:rFonts w:ascii="Arial" w:hAnsi="Arial"/>
      <w:sz w:val="18"/>
    </w:rPr>
  </w:style>
  <w:style w:type="character" w:customStyle="1" w:styleId="149">
    <w:name w:val="short_text1"/>
    <w:uiPriority w:val="0"/>
    <w:rPr>
      <w:sz w:val="29"/>
    </w:rPr>
  </w:style>
  <w:style w:type="character" w:customStyle="1" w:styleId="150">
    <w:name w:val="样式 正文（首行缩进两字） Char + Times New Roman Char Char"/>
    <w:basedOn w:val="151"/>
    <w:link w:val="153"/>
    <w:uiPriority w:val="0"/>
  </w:style>
  <w:style w:type="character" w:customStyle="1" w:styleId="151">
    <w:name w:val="样式1正文（首行缩进两字） Char Char Char"/>
    <w:link w:val="152"/>
    <w:uiPriority w:val="0"/>
    <w:rPr>
      <w:kern w:val="2"/>
      <w:sz w:val="21"/>
    </w:rPr>
  </w:style>
  <w:style w:type="paragraph" w:customStyle="1" w:styleId="152">
    <w:name w:val="样式1正文（首行缩进两字） Char"/>
    <w:basedOn w:val="1"/>
    <w:next w:val="1"/>
    <w:link w:val="151"/>
    <w:uiPriority w:val="0"/>
    <w:pPr>
      <w:topLinePunct/>
      <w:snapToGrid w:val="0"/>
      <w:spacing w:before="40" w:after="40"/>
      <w:ind w:firstLine="396" w:firstLineChars="200"/>
    </w:pPr>
  </w:style>
  <w:style w:type="paragraph" w:customStyle="1" w:styleId="153">
    <w:name w:val="样式 正文（首行缩进两字） Char + Times New Roman"/>
    <w:basedOn w:val="152"/>
    <w:link w:val="150"/>
    <w:uiPriority w:val="0"/>
    <w:pPr>
      <w:ind w:firstLine="0" w:firstLineChars="0"/>
      <w:jc w:val="center"/>
    </w:pPr>
    <w:rPr>
      <w:rFonts w:ascii="Calibri" w:hAnsi="Calibri"/>
    </w:rPr>
  </w:style>
  <w:style w:type="character" w:customStyle="1" w:styleId="154">
    <w:name w:val="H3 Char"/>
    <w:aliases w:val="l3 Char,CT Char,小标题中 Char,h3 Char,sect1.2.3 Char,3rd level Char,3 Char,Head 3 Char,level_3 Char,PIM 3 Char,Level 3 Head Char,Heading 3 - old Char,二级节名 Char,heading 3 Char,Bold Head Char,bh Char,sect1.2.31 Char,sect1.2.32 Char,sect1.2.311 Char"/>
    <w:uiPriority w:val="0"/>
    <w:rPr>
      <w:rFonts w:eastAsia="宋体"/>
      <w:b/>
      <w:kern w:val="2"/>
      <w:sz w:val="32"/>
      <w:lang w:val="en-US" w:eastAsia="zh-CN"/>
    </w:rPr>
  </w:style>
  <w:style w:type="character" w:customStyle="1" w:styleId="155">
    <w:name w:val="正文文本缩进 2 Char"/>
    <w:link w:val="46"/>
    <w:uiPriority w:val="0"/>
    <w:rPr>
      <w:rFonts w:ascii="Times New Roman" w:hAnsi="Times New Roman"/>
      <w:kern w:val="2"/>
      <w:sz w:val="21"/>
    </w:rPr>
  </w:style>
  <w:style w:type="character" w:customStyle="1" w:styleId="156">
    <w:name w:val="标题 7 Char"/>
    <w:link w:val="10"/>
    <w:uiPriority w:val="0"/>
    <w:rPr>
      <w:rFonts w:ascii="Times New Roman" w:hAnsi="Times New Roman"/>
      <w:b/>
      <w:kern w:val="2"/>
      <w:sz w:val="24"/>
    </w:rPr>
  </w:style>
  <w:style w:type="character" w:customStyle="1" w:styleId="157">
    <w:name w:val="样式 样式 Times New Roman 首行缩进:  0.74 厘米 段前: 0行 行距1.15 + (符号) Tim... Char Char"/>
    <w:basedOn w:val="158"/>
    <w:link w:val="160"/>
    <w:uiPriority w:val="0"/>
  </w:style>
  <w:style w:type="character" w:customStyle="1" w:styleId="158">
    <w:name w:val="样式 Times New Roman 首行缩进:  0.74 厘米 段前: 0.1 行 行距1.15 Char Char"/>
    <w:link w:val="159"/>
    <w:uiPriority w:val="0"/>
    <w:rPr>
      <w:rFonts w:hAnsi="宋体"/>
      <w:kern w:val="2"/>
      <w:sz w:val="21"/>
    </w:rPr>
  </w:style>
  <w:style w:type="paragraph" w:customStyle="1" w:styleId="159">
    <w:name w:val="样式 Times New Roman 首行缩进:  0.74 厘米 段前: 0.1 行 行距1.15"/>
    <w:basedOn w:val="1"/>
    <w:link w:val="158"/>
    <w:uiPriority w:val="0"/>
    <w:pPr>
      <w:spacing w:line="276" w:lineRule="auto"/>
      <w:ind w:firstLine="420"/>
    </w:pPr>
    <w:rPr>
      <w:rFonts w:hAnsi="宋体"/>
    </w:rPr>
  </w:style>
  <w:style w:type="paragraph" w:customStyle="1" w:styleId="160">
    <w:name w:val="样式 样式 Times New Roman 首行缩进:  0.74 厘米 段前: 0行 行距1.15 + (符号) Tim..."/>
    <w:basedOn w:val="159"/>
    <w:link w:val="157"/>
    <w:uiPriority w:val="0"/>
  </w:style>
  <w:style w:type="character" w:customStyle="1" w:styleId="161">
    <w:name w:val="表头 Char"/>
    <w:link w:val="162"/>
    <w:uiPriority w:val="0"/>
    <w:rPr>
      <w:rFonts w:ascii="Times New Roman" w:hAnsi="Times New Roman" w:eastAsia="黑体"/>
      <w:kern w:val="2"/>
      <w:sz w:val="21"/>
      <w:szCs w:val="21"/>
    </w:rPr>
  </w:style>
  <w:style w:type="paragraph" w:customStyle="1" w:styleId="162">
    <w:name w:val="表头"/>
    <w:basedOn w:val="1"/>
    <w:link w:val="161"/>
    <w:uiPriority w:val="0"/>
    <w:pPr>
      <w:topLinePunct/>
      <w:spacing w:before="160" w:after="60"/>
      <w:jc w:val="center"/>
    </w:pPr>
    <w:rPr>
      <w:rFonts w:eastAsia="黑体"/>
      <w:szCs w:val="21"/>
    </w:rPr>
  </w:style>
  <w:style w:type="character" w:customStyle="1" w:styleId="163">
    <w:name w:val="标题 2 Char"/>
    <w:link w:val="5"/>
    <w:uiPriority w:val="0"/>
    <w:rPr>
      <w:rFonts w:ascii="Arial" w:hAnsi="Arial" w:eastAsia="黑体"/>
      <w:sz w:val="32"/>
    </w:rPr>
  </w:style>
  <w:style w:type="character" w:customStyle="1" w:styleId="164">
    <w:name w:val="Char Char2"/>
    <w:uiPriority w:val="0"/>
    <w:rPr>
      <w:rFonts w:ascii="Arial" w:hAnsi="Arial" w:eastAsia="宋体"/>
      <w:kern w:val="2"/>
      <w:sz w:val="21"/>
      <w:lang w:val="en-US" w:eastAsia="zh-CN"/>
    </w:rPr>
  </w:style>
  <w:style w:type="character" w:customStyle="1" w:styleId="165">
    <w:name w:val="批注框文本 Char"/>
    <w:link w:val="49"/>
    <w:qFormat/>
    <w:uiPriority w:val="0"/>
    <w:rPr>
      <w:kern w:val="2"/>
      <w:sz w:val="18"/>
      <w:szCs w:val="18"/>
    </w:rPr>
  </w:style>
  <w:style w:type="character" w:customStyle="1" w:styleId="166">
    <w:name w:val="_标准条文 Char Char"/>
    <w:link w:val="167"/>
    <w:uiPriority w:val="0"/>
    <w:rPr>
      <w:rFonts w:ascii="Arial" w:hAnsi="Arial"/>
      <w:kern w:val="2"/>
      <w:sz w:val="21"/>
    </w:rPr>
  </w:style>
  <w:style w:type="paragraph" w:customStyle="1" w:styleId="167">
    <w:name w:val="_标准条文"/>
    <w:basedOn w:val="1"/>
    <w:link w:val="166"/>
    <w:uiPriority w:val="0"/>
    <w:pPr>
      <w:overflowPunct w:val="0"/>
      <w:snapToGrid w:val="0"/>
      <w:spacing w:line="276" w:lineRule="auto"/>
      <w:ind w:firstLine="420" w:firstLineChars="200"/>
    </w:pPr>
    <w:rPr>
      <w:rFonts w:ascii="Arial" w:hAnsi="Arial"/>
    </w:rPr>
  </w:style>
  <w:style w:type="character" w:customStyle="1" w:styleId="168">
    <w:name w:val="个人答复风格"/>
    <w:uiPriority w:val="0"/>
    <w:rPr>
      <w:rFonts w:ascii="Arial" w:hAnsi="Arial" w:eastAsia="宋体"/>
      <w:color w:val="auto"/>
      <w:sz w:val="20"/>
    </w:rPr>
  </w:style>
  <w:style w:type="character" w:customStyle="1" w:styleId="169">
    <w:name w:val="标题 1 Char Char"/>
    <w:uiPriority w:val="0"/>
    <w:rPr>
      <w:rFonts w:eastAsia="黑体"/>
      <w:kern w:val="44"/>
      <w:sz w:val="28"/>
      <w:szCs w:val="28"/>
      <w:lang w:val="en-US" w:eastAsia="zh-CN" w:bidi="ar-SA"/>
    </w:rPr>
  </w:style>
  <w:style w:type="character" w:customStyle="1" w:styleId="170">
    <w:name w:val="标题 3 Char"/>
    <w:link w:val="6"/>
    <w:qFormat/>
    <w:uiPriority w:val="0"/>
    <w:rPr>
      <w:rFonts w:ascii="宋体" w:hAnsi="宋体" w:cs="宋体"/>
      <w:b/>
      <w:bCs/>
      <w:sz w:val="27"/>
      <w:szCs w:val="27"/>
    </w:rPr>
  </w:style>
  <w:style w:type="character" w:customStyle="1" w:styleId="171">
    <w:name w:val="SoDA Field"/>
    <w:uiPriority w:val="0"/>
    <w:rPr>
      <w:color w:val="0000FF"/>
    </w:rPr>
  </w:style>
  <w:style w:type="character" w:customStyle="1" w:styleId="172">
    <w:name w:val="批注文字 Char"/>
    <w:link w:val="27"/>
    <w:qFormat/>
    <w:uiPriority w:val="0"/>
    <w:rPr>
      <w:kern w:val="2"/>
      <w:sz w:val="21"/>
    </w:rPr>
  </w:style>
  <w:style w:type="character" w:customStyle="1" w:styleId="173">
    <w:name w:val="正文文本 Char1 Char"/>
    <w:aliases w:val="正文文本 Char Char Char, Char2 Char Char Char, Char2 Char1 Char"/>
    <w:uiPriority w:val="0"/>
    <w:rPr>
      <w:rFonts w:ascii="Arial" w:hAnsi="Arial" w:eastAsia="宋体"/>
      <w:kern w:val="2"/>
      <w:sz w:val="18"/>
      <w:lang w:val="en-US" w:eastAsia="zh-CN"/>
    </w:rPr>
  </w:style>
  <w:style w:type="character" w:customStyle="1" w:styleId="174">
    <w:name w:val="样式 正文（首行缩进两字） Char + 加粗 Char Char"/>
    <w:uiPriority w:val="0"/>
    <w:rPr>
      <w:rFonts w:eastAsia="宋体"/>
      <w:b/>
      <w:kern w:val="2"/>
      <w:sz w:val="21"/>
      <w:lang w:val="en-US" w:eastAsia="zh-CN"/>
    </w:rPr>
  </w:style>
  <w:style w:type="character" w:customStyle="1" w:styleId="175">
    <w:name w:val="表头 Char Char"/>
    <w:uiPriority w:val="0"/>
    <w:rPr>
      <w:rFonts w:eastAsia="黑体"/>
      <w:kern w:val="2"/>
      <w:sz w:val="21"/>
      <w:szCs w:val="21"/>
      <w:lang w:val="en-US" w:eastAsia="zh-CN" w:bidi="ar-SA"/>
    </w:rPr>
  </w:style>
  <w:style w:type="character" w:customStyle="1" w:styleId="176">
    <w:name w:val="样式 标题 2 + 五号 Char Char"/>
    <w:uiPriority w:val="0"/>
    <w:rPr>
      <w:rFonts w:eastAsia="黑体"/>
      <w:bCs/>
      <w:kern w:val="2"/>
      <w:sz w:val="21"/>
      <w:szCs w:val="21"/>
      <w:lang w:val="en-US" w:eastAsia="zh-CN" w:bidi="ar-SA"/>
    </w:rPr>
  </w:style>
  <w:style w:type="character" w:customStyle="1" w:styleId="177">
    <w:name w:val="正文文本缩进 Char"/>
    <w:link w:val="32"/>
    <w:uiPriority w:val="0"/>
    <w:rPr>
      <w:b/>
      <w:kern w:val="2"/>
      <w:sz w:val="30"/>
    </w:rPr>
  </w:style>
  <w:style w:type="character" w:customStyle="1" w:styleId="178">
    <w:name w:val="着重强调"/>
    <w:uiPriority w:val="0"/>
    <w:rPr>
      <w:rFonts w:ascii="Arial" w:hAnsi="Arial"/>
      <w:b/>
      <w:spacing w:val="-4"/>
    </w:rPr>
  </w:style>
  <w:style w:type="character" w:customStyle="1" w:styleId="179">
    <w:name w:val="正文文本 3 Char1"/>
    <w:semiHidden/>
    <w:uiPriority w:val="99"/>
    <w:rPr>
      <w:rFonts w:ascii="Times New Roman" w:hAnsi="Times New Roman"/>
      <w:kern w:val="2"/>
      <w:sz w:val="16"/>
      <w:szCs w:val="16"/>
    </w:rPr>
  </w:style>
  <w:style w:type="character" w:customStyle="1" w:styleId="180">
    <w:name w:val="上标"/>
    <w:uiPriority w:val="0"/>
    <w:rPr>
      <w:b/>
      <w:vertAlign w:val="superscript"/>
    </w:rPr>
  </w:style>
  <w:style w:type="character" w:customStyle="1" w:styleId="181">
    <w:name w:val="日期 Char"/>
    <w:link w:val="45"/>
    <w:uiPriority w:val="0"/>
    <w:rPr>
      <w:rFonts w:ascii="Arial" w:hAnsi="Arial"/>
      <w:kern w:val="2"/>
      <w:sz w:val="21"/>
    </w:rPr>
  </w:style>
  <w:style w:type="character" w:customStyle="1" w:styleId="182">
    <w:name w:val="样式 标题 1 + 加粗 Char Char"/>
    <w:uiPriority w:val="0"/>
    <w:rPr>
      <w:rFonts w:eastAsia="黑体"/>
      <w:b/>
      <w:bCs/>
      <w:kern w:val="44"/>
      <w:sz w:val="28"/>
      <w:szCs w:val="28"/>
      <w:lang w:val="en-US" w:eastAsia="zh-CN" w:bidi="ar-SA"/>
    </w:rPr>
  </w:style>
  <w:style w:type="character" w:customStyle="1" w:styleId="183">
    <w:name w:val="样式1 Char Char"/>
    <w:uiPriority w:val="0"/>
    <w:rPr>
      <w:rFonts w:ascii="Times New Roman" w:hAnsi="Times New Roman" w:eastAsia="宋体" w:cs="宋体"/>
      <w:b/>
      <w:kern w:val="44"/>
      <w:sz w:val="52"/>
      <w:szCs w:val="52"/>
    </w:rPr>
  </w:style>
  <w:style w:type="character" w:customStyle="1" w:styleId="184">
    <w:name w:val="H2 Char"/>
    <w:aliases w:val="h2 Char,h21 Char,Heading 2 Hidden Char,Heading 2 CCBS Char,heading 2 Char,l2 Char,Courseware # Char,Titre3 Char,Level 2 Head Char,第一层条 Char,2 Char,sect 1.2 Char,PA Major Section Char,Level 2 Topic Heading Char,HD2 Char,Underrubrik1 Char,标题2 Char"/>
    <w:uiPriority w:val="0"/>
    <w:rPr>
      <w:rFonts w:ascii="Arial" w:hAnsi="Arial" w:eastAsia="黑体"/>
      <w:b/>
      <w:kern w:val="2"/>
      <w:sz w:val="32"/>
      <w:lang w:val="en-US" w:eastAsia="zh-CN"/>
    </w:rPr>
  </w:style>
  <w:style w:type="character" w:customStyle="1" w:styleId="185">
    <w:name w:val="页脚 Char"/>
    <w:link w:val="50"/>
    <w:qFormat/>
    <w:locked/>
    <w:uiPriority w:val="0"/>
    <w:rPr>
      <w:rFonts w:ascii="Times New Roman" w:hAnsi="Times New Roman" w:eastAsia="宋体" w:cs="Times New Roman"/>
      <w:sz w:val="18"/>
      <w:szCs w:val="18"/>
    </w:rPr>
  </w:style>
  <w:style w:type="character" w:customStyle="1" w:styleId="186">
    <w:name w:val="标题 1 Char"/>
    <w:link w:val="4"/>
    <w:uiPriority w:val="0"/>
    <w:rPr>
      <w:rFonts w:ascii="Times New Roman" w:hAnsi="Times New Roman"/>
      <w:color w:val="000000"/>
      <w:kern w:val="2"/>
      <w:sz w:val="24"/>
    </w:rPr>
  </w:style>
  <w:style w:type="character" w:customStyle="1" w:styleId="187">
    <w:name w:val="纯文本 Char1"/>
    <w:semiHidden/>
    <w:uiPriority w:val="99"/>
    <w:rPr>
      <w:rFonts w:ascii="宋体" w:hAnsi="Courier New" w:cs="Courier New"/>
      <w:kern w:val="2"/>
      <w:sz w:val="21"/>
      <w:szCs w:val="21"/>
    </w:rPr>
  </w:style>
  <w:style w:type="character" w:customStyle="1" w:styleId="188">
    <w:name w:val="个人撰写风格"/>
    <w:uiPriority w:val="0"/>
    <w:rPr>
      <w:rFonts w:ascii="Arial" w:hAnsi="Arial" w:eastAsia="宋体"/>
      <w:color w:val="auto"/>
      <w:sz w:val="20"/>
    </w:rPr>
  </w:style>
  <w:style w:type="character" w:customStyle="1" w:styleId="189">
    <w:name w:val="表格条文首行缩进 Char Char"/>
    <w:link w:val="190"/>
    <w:uiPriority w:val="0"/>
    <w:rPr>
      <w:rFonts w:ascii="宋体" w:hAnsi="宋体"/>
      <w:sz w:val="24"/>
    </w:rPr>
  </w:style>
  <w:style w:type="paragraph" w:customStyle="1" w:styleId="190">
    <w:name w:val="表格条文首行缩进"/>
    <w:basedOn w:val="1"/>
    <w:link w:val="189"/>
    <w:uiPriority w:val="0"/>
    <w:pPr>
      <w:spacing w:line="360" w:lineRule="auto"/>
      <w:ind w:firstLine="480" w:firstLineChars="200"/>
      <w:jc w:val="left"/>
    </w:pPr>
    <w:rPr>
      <w:rFonts w:ascii="宋体" w:hAnsi="宋体"/>
      <w:kern w:val="0"/>
      <w:sz w:val="24"/>
    </w:rPr>
  </w:style>
  <w:style w:type="character" w:customStyle="1" w:styleId="191">
    <w:name w:val="hps"/>
    <w:basedOn w:val="77"/>
    <w:uiPriority w:val="0"/>
  </w:style>
  <w:style w:type="character" w:customStyle="1" w:styleId="192">
    <w:name w:val="样式 a首行缩进:  0 字符 段前: 0 行 + 黑体 Char Char"/>
    <w:link w:val="193"/>
    <w:uiPriority w:val="0"/>
    <w:rPr>
      <w:rFonts w:eastAsia="黑体"/>
      <w:sz w:val="21"/>
    </w:rPr>
  </w:style>
  <w:style w:type="paragraph" w:customStyle="1" w:styleId="193">
    <w:name w:val="样式 a首行缩进:  0 字符 段前: 0 行 + 黑体"/>
    <w:basedOn w:val="122"/>
    <w:link w:val="192"/>
    <w:uiPriority w:val="0"/>
    <w:rPr>
      <w:rFonts w:eastAsia="黑体"/>
    </w:rPr>
  </w:style>
  <w:style w:type="character" w:customStyle="1" w:styleId="194">
    <w:name w:val="标语"/>
    <w:uiPriority w:val="0"/>
    <w:rPr>
      <w:i/>
      <w:spacing w:val="-6"/>
      <w:sz w:val="24"/>
    </w:rPr>
  </w:style>
  <w:style w:type="character" w:customStyle="1" w:styleId="195">
    <w:name w:val="页眉 Char"/>
    <w:link w:val="51"/>
    <w:semiHidden/>
    <w:qFormat/>
    <w:locked/>
    <w:uiPriority w:val="99"/>
    <w:rPr>
      <w:rFonts w:ascii="Times New Roman" w:hAnsi="Times New Roman" w:eastAsia="宋体" w:cs="Times New Roman"/>
      <w:sz w:val="18"/>
      <w:szCs w:val="18"/>
    </w:rPr>
  </w:style>
  <w:style w:type="character" w:customStyle="1" w:styleId="196">
    <w:name w:val="朱2 Char Char"/>
    <w:basedOn w:val="114"/>
    <w:link w:val="197"/>
    <w:uiPriority w:val="0"/>
  </w:style>
  <w:style w:type="paragraph" w:customStyle="1" w:styleId="197">
    <w:name w:val="朱2"/>
    <w:basedOn w:val="115"/>
    <w:link w:val="196"/>
    <w:uiPriority w:val="0"/>
    <w:pPr>
      <w:topLinePunct/>
      <w:adjustRightInd w:val="0"/>
      <w:spacing w:line="312" w:lineRule="exact"/>
    </w:pPr>
  </w:style>
  <w:style w:type="character" w:customStyle="1" w:styleId="198">
    <w:name w:val="副标题 Char"/>
    <w:link w:val="57"/>
    <w:uiPriority w:val="0"/>
    <w:rPr>
      <w:rFonts w:ascii="Arial" w:hAnsi="Arial" w:eastAsia="黑体"/>
      <w:kern w:val="2"/>
      <w:sz w:val="48"/>
    </w:rPr>
  </w:style>
  <w:style w:type="character" w:customStyle="1" w:styleId="199">
    <w:name w:val="标题 9 Char"/>
    <w:link w:val="13"/>
    <w:uiPriority w:val="0"/>
    <w:rPr>
      <w:rFonts w:ascii="Arial" w:hAnsi="Arial" w:eastAsia="黑体"/>
      <w:kern w:val="2"/>
      <w:sz w:val="21"/>
    </w:rPr>
  </w:style>
  <w:style w:type="character" w:customStyle="1" w:styleId="200">
    <w:name w:val="样式 标题 2 + 段前: 0.1 行 Char Char"/>
    <w:link w:val="201"/>
    <w:uiPriority w:val="0"/>
    <w:rPr>
      <w:b/>
      <w:kern w:val="2"/>
      <w:sz w:val="21"/>
    </w:rPr>
  </w:style>
  <w:style w:type="paragraph" w:customStyle="1" w:styleId="201">
    <w:name w:val="样式 标题 2 + 段前: 0.1 行"/>
    <w:basedOn w:val="5"/>
    <w:link w:val="200"/>
    <w:uiPriority w:val="0"/>
    <w:pPr>
      <w:autoSpaceDE/>
      <w:autoSpaceDN/>
      <w:adjustRightInd/>
      <w:spacing w:beforeLines="10" w:after="0" w:line="312" w:lineRule="auto"/>
      <w:jc w:val="both"/>
      <w:textAlignment w:val="auto"/>
    </w:pPr>
    <w:rPr>
      <w:rFonts w:ascii="Times New Roman" w:hAnsi="Times New Roman" w:eastAsia="宋体"/>
      <w:b/>
      <w:kern w:val="2"/>
      <w:sz w:val="21"/>
    </w:rPr>
  </w:style>
  <w:style w:type="character" w:customStyle="1" w:styleId="202">
    <w:name w:val="样式 a) Char Char"/>
    <w:link w:val="203"/>
    <w:uiPriority w:val="0"/>
    <w:rPr>
      <w:kern w:val="2"/>
      <w:sz w:val="21"/>
    </w:rPr>
  </w:style>
  <w:style w:type="paragraph" w:customStyle="1" w:styleId="203">
    <w:name w:val="样式 a)"/>
    <w:basedOn w:val="1"/>
    <w:next w:val="1"/>
    <w:link w:val="202"/>
    <w:uiPriority w:val="0"/>
    <w:pPr>
      <w:tabs>
        <w:tab w:val="left" w:pos="780"/>
      </w:tabs>
      <w:spacing w:beforeLines="10" w:line="312" w:lineRule="auto"/>
      <w:ind w:firstLine="200" w:firstLineChars="200"/>
    </w:pPr>
  </w:style>
  <w:style w:type="character" w:customStyle="1" w:styleId="204">
    <w:name w:val="样式2 Char"/>
    <w:uiPriority w:val="0"/>
    <w:rPr>
      <w:rFonts w:ascii="EU-F1" w:eastAsia="黑体"/>
      <w:color w:val="000000"/>
      <w:kern w:val="44"/>
      <w:sz w:val="21"/>
      <w:szCs w:val="21"/>
      <w:lang w:val="en-US" w:eastAsia="zh-CN" w:bidi="ar-SA"/>
    </w:rPr>
  </w:style>
  <w:style w:type="character" w:customStyle="1" w:styleId="205">
    <w:name w:val="列表编号 2 Char Char"/>
    <w:uiPriority w:val="0"/>
    <w:rPr>
      <w:rFonts w:ascii="Arial" w:hAnsi="Arial" w:eastAsia="宋体"/>
      <w:sz w:val="18"/>
      <w:lang w:val="en-US" w:eastAsia="zh-CN"/>
    </w:rPr>
  </w:style>
  <w:style w:type="character" w:customStyle="1" w:styleId="206">
    <w:name w:val="样式 样式 样式 标题 2 + 段前: 0.1 行 + 段前: 0.1 行 + Times New Roman Char Char"/>
    <w:link w:val="207"/>
    <w:uiPriority w:val="0"/>
    <w:rPr>
      <w:rFonts w:eastAsia="黑体"/>
      <w:b/>
      <w:kern w:val="2"/>
      <w:sz w:val="21"/>
      <w:lang w:val="en-US" w:eastAsia="zh-CN"/>
    </w:rPr>
  </w:style>
  <w:style w:type="paragraph" w:customStyle="1" w:styleId="207">
    <w:name w:val="样式 样式 样式 标题 2 + 段前: 0.1 行 + 段前: 0.1 行 + Times New Roman"/>
    <w:basedOn w:val="208"/>
    <w:link w:val="206"/>
    <w:uiPriority w:val="0"/>
    <w:pPr>
      <w:tabs>
        <w:tab w:val="left" w:pos="500"/>
      </w:tabs>
      <w:spacing w:beforeLines="50" w:afterLines="50" w:line="240" w:lineRule="auto"/>
    </w:pPr>
    <w:rPr>
      <w:rFonts w:eastAsia="黑体"/>
      <w:lang w:val="en-US" w:eastAsia="zh-CN"/>
    </w:rPr>
  </w:style>
  <w:style w:type="paragraph" w:customStyle="1" w:styleId="208">
    <w:name w:val="样式1 样式 标题 2 + 段前: 0行"/>
    <w:basedOn w:val="5"/>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209">
    <w:name w:val="附录标题2 Char Char"/>
    <w:link w:val="210"/>
    <w:uiPriority w:val="0"/>
    <w:rPr>
      <w:rFonts w:ascii="Arial" w:hAnsi="Arial" w:eastAsia="黑体"/>
      <w:kern w:val="2"/>
      <w:sz w:val="21"/>
    </w:rPr>
  </w:style>
  <w:style w:type="paragraph" w:customStyle="1" w:styleId="210">
    <w:name w:val="附录标题2"/>
    <w:basedOn w:val="5"/>
    <w:next w:val="2"/>
    <w:link w:val="209"/>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paragraph" w:customStyle="1" w:styleId="211">
    <w:name w:val="附录三级条标题"/>
    <w:basedOn w:val="212"/>
    <w:next w:val="144"/>
    <w:uiPriority w:val="0"/>
    <w:pPr>
      <w:outlineLvl w:val="4"/>
    </w:pPr>
  </w:style>
  <w:style w:type="paragraph" w:customStyle="1" w:styleId="212">
    <w:name w:val="附录二级条标题"/>
    <w:basedOn w:val="213"/>
    <w:next w:val="144"/>
    <w:uiPriority w:val="0"/>
    <w:pPr>
      <w:outlineLvl w:val="3"/>
    </w:pPr>
  </w:style>
  <w:style w:type="paragraph" w:customStyle="1" w:styleId="213">
    <w:name w:val="附录一级条标题"/>
    <w:basedOn w:val="214"/>
    <w:next w:val="144"/>
    <w:uiPriority w:val="0"/>
    <w:pPr>
      <w:autoSpaceDN w:val="0"/>
      <w:spacing w:beforeLines="0" w:afterLines="0"/>
      <w:outlineLvl w:val="2"/>
    </w:pPr>
  </w:style>
  <w:style w:type="paragraph" w:customStyle="1" w:styleId="214">
    <w:name w:val="附录章标题"/>
    <w:next w:val="144"/>
    <w:uiPriority w:val="0"/>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lang w:val="en-US" w:eastAsia="zh-CN" w:bidi="ar-SA"/>
    </w:rPr>
  </w:style>
  <w:style w:type="paragraph" w:customStyle="1" w:styleId="215">
    <w:name w:val="副标题1"/>
    <w:basedOn w:val="58"/>
    <w:next w:val="1"/>
    <w:uiPriority w:val="0"/>
    <w:pPr>
      <w:topLinePunct w:val="0"/>
      <w:adjustRightInd/>
      <w:snapToGrid w:val="0"/>
      <w:spacing w:before="360" w:after="680"/>
    </w:pPr>
    <w:rPr>
      <w:rFonts w:eastAsia="黑体"/>
      <w:b w:val="0"/>
      <w:sz w:val="48"/>
    </w:rPr>
  </w:style>
  <w:style w:type="paragraph" w:customStyle="1" w:styleId="216">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217">
    <w:name w:val="样式1-4 Times New Roman行距: 多倍行距 1.15 字行 + 左侧:  4 字符"/>
    <w:basedOn w:val="218"/>
    <w:uiPriority w:val="0"/>
    <w:pPr>
      <w:tabs>
        <w:tab w:val="left" w:pos="315"/>
      </w:tabs>
      <w:ind w:left="840" w:leftChars="400"/>
    </w:pPr>
  </w:style>
  <w:style w:type="paragraph" w:customStyle="1" w:styleId="218">
    <w:name w:val="样式 Times New Roman 段前: 0.1 行 行距: 多倍行距 1.2 字行"/>
    <w:basedOn w:val="1"/>
    <w:uiPriority w:val="0"/>
    <w:pPr>
      <w:spacing w:line="276" w:lineRule="auto"/>
      <w:ind w:left="420" w:leftChars="200"/>
    </w:pPr>
  </w:style>
  <w:style w:type="paragraph" w:customStyle="1" w:styleId="219">
    <w:name w:val="Char Char Char1 Char"/>
    <w:basedOn w:val="1"/>
    <w:uiPriority w:val="0"/>
    <w:pPr>
      <w:spacing w:line="240" w:lineRule="atLeast"/>
      <w:ind w:left="420" w:firstLine="420"/>
    </w:pPr>
    <w:rPr>
      <w:kern w:val="0"/>
    </w:rPr>
  </w:style>
  <w:style w:type="paragraph" w:customStyle="1" w:styleId="220">
    <w:name w:val="标准标志"/>
    <w:next w:val="1"/>
    <w:uiPriority w:val="0"/>
    <w:pPr>
      <w:widowControl w:val="0"/>
      <w:shd w:val="solid" w:color="FFFFFF" w:fill="FFFFFF"/>
      <w:adjustRightInd w:val="0"/>
      <w:spacing w:line="0" w:lineRule="atLeast"/>
      <w:jc w:val="right"/>
      <w:textAlignment w:val="baseline"/>
    </w:pPr>
    <w:rPr>
      <w:b/>
      <w:w w:val="130"/>
      <w:sz w:val="96"/>
      <w:lang w:val="en-US" w:eastAsia="zh-CN" w:bidi="ar-SA"/>
    </w:rPr>
  </w:style>
  <w:style w:type="paragraph" w:customStyle="1" w:styleId="221">
    <w:name w:val="样式 样式 正文缩进正文缩进 Char正文（首行缩进两字） Char Char正文（首行缩进两字） Char1正文（首行缩进两....2"/>
    <w:basedOn w:val="222"/>
    <w:uiPriority w:val="0"/>
    <w:pPr>
      <w:spacing w:beforeLines="0" w:line="276" w:lineRule="auto"/>
      <w:ind w:firstLine="420"/>
    </w:pPr>
  </w:style>
  <w:style w:type="paragraph" w:customStyle="1" w:styleId="222">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223">
    <w:name w:val="样式 Times New Roman 段前: 0.1 行 行距: 多倍行距 1.15 字行"/>
    <w:basedOn w:val="1"/>
    <w:uiPriority w:val="0"/>
    <w:pPr>
      <w:spacing w:line="276" w:lineRule="auto"/>
    </w:pPr>
  </w:style>
  <w:style w:type="paragraph" w:customStyle="1" w:styleId="224">
    <w:name w:val="块引用"/>
    <w:basedOn w:val="31"/>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225">
    <w:name w:val="五级条标题"/>
    <w:basedOn w:val="226"/>
    <w:next w:val="144"/>
    <w:uiPriority w:val="0"/>
    <w:pPr>
      <w:tabs>
        <w:tab w:val="left" w:pos="-1080"/>
      </w:tabs>
      <w:outlineLvl w:val="6"/>
    </w:pPr>
  </w:style>
  <w:style w:type="paragraph" w:customStyle="1" w:styleId="226">
    <w:name w:val="四级条标题"/>
    <w:basedOn w:val="227"/>
    <w:next w:val="144"/>
    <w:uiPriority w:val="0"/>
    <w:pPr>
      <w:tabs>
        <w:tab w:val="left" w:pos="-1080"/>
      </w:tabs>
      <w:outlineLvl w:val="5"/>
    </w:pPr>
  </w:style>
  <w:style w:type="paragraph" w:customStyle="1" w:styleId="227">
    <w:name w:val="三级条标题"/>
    <w:basedOn w:val="228"/>
    <w:next w:val="144"/>
    <w:uiPriority w:val="0"/>
    <w:pPr>
      <w:widowControl w:val="0"/>
      <w:numPr>
        <w:ilvl w:val="0"/>
        <w:numId w:val="0"/>
      </w:numPr>
      <w:tabs>
        <w:tab w:val="left" w:pos="-1080"/>
      </w:tabs>
      <w:adjustRightInd w:val="0"/>
      <w:spacing w:line="360" w:lineRule="atLeast"/>
      <w:textAlignment w:val="baseline"/>
      <w:outlineLvl w:val="4"/>
    </w:pPr>
    <w:rPr>
      <w:rFonts w:ascii="Times New Roman"/>
    </w:rPr>
  </w:style>
  <w:style w:type="paragraph" w:customStyle="1" w:styleId="228">
    <w:name w:val="二级条标题"/>
    <w:basedOn w:val="229"/>
    <w:next w:val="1"/>
    <w:uiPriority w:val="0"/>
    <w:pPr>
      <w:numPr>
        <w:ilvl w:val="3"/>
        <w:numId w:val="1"/>
      </w:numPr>
      <w:tabs>
        <w:tab w:val="left" w:pos="-1080"/>
      </w:tabs>
      <w:outlineLvl w:val="3"/>
    </w:pPr>
  </w:style>
  <w:style w:type="paragraph" w:customStyle="1" w:styleId="229">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230">
    <w:name w:val="样式 样式 正文（首行缩进两字） Char + 宋体 加粗 首行缩进:  2 字符 段前: 0.1 行 + 首行缩进:  2 字..."/>
    <w:basedOn w:val="231"/>
    <w:uiPriority w:val="0"/>
    <w:pPr>
      <w:spacing w:line="276" w:lineRule="auto"/>
    </w:pPr>
  </w:style>
  <w:style w:type="paragraph" w:customStyle="1" w:styleId="231">
    <w:name w:val="样式 正文（首行缩进两字） Char + 宋体 加粗 首行缩进:  2 字符 段前: 0.1 行"/>
    <w:basedOn w:val="152"/>
    <w:uiPriority w:val="0"/>
    <w:pPr>
      <w:spacing w:afterLines="10" w:line="300" w:lineRule="auto"/>
      <w:ind w:firstLine="200"/>
    </w:pPr>
    <w:rPr>
      <w:rFonts w:ascii="宋体" w:hAnsi="宋体"/>
      <w:b/>
    </w:rPr>
  </w:style>
  <w:style w:type="paragraph" w:customStyle="1" w:styleId="232">
    <w:name w:val="_列项接续1"/>
    <w:basedOn w:val="35"/>
    <w:uiPriority w:val="0"/>
    <w:pPr>
      <w:spacing w:after="0" w:line="276" w:lineRule="auto"/>
      <w:ind w:left="400" w:leftChars="400"/>
    </w:pPr>
    <w:rPr>
      <w:color w:val="000000"/>
    </w:rPr>
  </w:style>
  <w:style w:type="paragraph" w:customStyle="1" w:styleId="233">
    <w:name w:val="工程建设无节条标题"/>
    <w:basedOn w:val="1"/>
    <w:next w:val="144"/>
    <w:uiPriority w:val="0"/>
    <w:pPr>
      <w:numPr>
        <w:ilvl w:val="8"/>
        <w:numId w:val="2"/>
      </w:numPr>
      <w:outlineLvl w:val="3"/>
    </w:pPr>
  </w:style>
  <w:style w:type="paragraph" w:customStyle="1" w:styleId="234">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35">
    <w:name w:val="附录表标题续表"/>
    <w:basedOn w:val="236"/>
    <w:next w:val="144"/>
    <w:uiPriority w:val="0"/>
    <w:pPr>
      <w:widowControl/>
      <w:numPr>
        <w:ilvl w:val="0"/>
        <w:numId w:val="3"/>
      </w:numPr>
      <w:tabs>
        <w:tab w:val="left" w:pos="210"/>
        <w:tab w:val="left" w:pos="420"/>
      </w:tabs>
      <w:adjustRightInd/>
      <w:spacing w:line="360" w:lineRule="auto"/>
    </w:pPr>
    <w:rPr>
      <w:rFonts w:ascii="宋体" w:hAnsi="宋体" w:eastAsia="宋体"/>
    </w:rPr>
  </w:style>
  <w:style w:type="paragraph" w:customStyle="1" w:styleId="236">
    <w:name w:val="附录表标题"/>
    <w:next w:val="144"/>
    <w:uiPriority w:val="0"/>
    <w:pPr>
      <w:widowControl w:val="0"/>
      <w:tabs>
        <w:tab w:val="left" w:pos="360"/>
      </w:tabs>
      <w:adjustRightInd w:val="0"/>
      <w:spacing w:line="360" w:lineRule="atLeast"/>
      <w:jc w:val="center"/>
      <w:textAlignment w:val="baseline"/>
    </w:pPr>
    <w:rPr>
      <w:rFonts w:ascii="黑体" w:eastAsia="黑体"/>
      <w:kern w:val="21"/>
      <w:sz w:val="21"/>
      <w:lang w:val="en-US" w:eastAsia="zh-CN" w:bidi="ar-SA"/>
    </w:rPr>
  </w:style>
  <w:style w:type="paragraph" w:customStyle="1" w:styleId="237">
    <w:name w:val="正文_1_0"/>
    <w:qFormat/>
    <w:uiPriority w:val="0"/>
    <w:pPr>
      <w:widowControl w:val="0"/>
      <w:jc w:val="both"/>
    </w:pPr>
    <w:rPr>
      <w:kern w:val="2"/>
      <w:sz w:val="21"/>
      <w:szCs w:val="22"/>
      <w:lang w:val="en-US" w:eastAsia="zh-CN" w:bidi="ar-SA"/>
    </w:rPr>
  </w:style>
  <w:style w:type="paragraph" w:customStyle="1" w:styleId="238">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239">
    <w:name w:val="_列项符号3"/>
    <w:basedOn w:val="25"/>
    <w:uiPriority w:val="0"/>
    <w:pPr>
      <w:tabs>
        <w:tab w:val="left" w:pos="1680"/>
      </w:tabs>
      <w:snapToGrid w:val="0"/>
      <w:spacing w:line="276" w:lineRule="auto"/>
      <w:ind w:left="1680" w:leftChars="600" w:hanging="420" w:hangingChars="800"/>
    </w:pPr>
  </w:style>
  <w:style w:type="paragraph" w:customStyle="1" w:styleId="240">
    <w:name w:val="样式 编号 a + Times New Roman 段前: 0 行 行距: 多倍行距 1.15 字行 + 左侧..."/>
    <w:basedOn w:val="152"/>
    <w:next w:val="217"/>
    <w:uiPriority w:val="0"/>
    <w:pPr>
      <w:spacing w:before="24" w:afterLines="10"/>
      <w:ind w:firstLine="0" w:firstLineChars="0"/>
    </w:pPr>
  </w:style>
  <w:style w:type="paragraph" w:customStyle="1" w:styleId="241">
    <w:name w:val="样式 标题 5 + 段前: 0.1 行1"/>
    <w:basedOn w:val="8"/>
    <w:next w:val="8"/>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42">
    <w:name w:val="编号列项（三级）"/>
    <w:uiPriority w:val="0"/>
    <w:pPr>
      <w:widowControl w:val="0"/>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243">
    <w:name w:val="Char Char"/>
    <w:basedOn w:val="1"/>
    <w:uiPriority w:val="0"/>
    <w:rPr>
      <w:szCs w:val="21"/>
    </w:rPr>
  </w:style>
  <w:style w:type="paragraph" w:customStyle="1" w:styleId="244">
    <w:name w:val="样式1 标题 2 + 段前: 0.1 行 + 宋体"/>
    <w:basedOn w:val="1"/>
    <w:uiPriority w:val="0"/>
    <w:pPr>
      <w:tabs>
        <w:tab w:val="left" w:pos="500"/>
      </w:tabs>
      <w:spacing w:beforeLines="10" w:line="312" w:lineRule="auto"/>
    </w:pPr>
  </w:style>
  <w:style w:type="paragraph" w:customStyle="1" w:styleId="245">
    <w:name w:val="正文格式"/>
    <w:basedOn w:val="1"/>
    <w:uiPriority w:val="0"/>
    <w:pPr>
      <w:topLinePunct/>
      <w:ind w:firstLine="420" w:firstLineChars="200"/>
    </w:pPr>
    <w:rPr>
      <w:rFonts w:ascii="宋体" w:hAnsi="宋体"/>
      <w:bCs/>
      <w:szCs w:val="21"/>
    </w:rPr>
  </w:style>
  <w:style w:type="paragraph" w:customStyle="1" w:styleId="246">
    <w:name w:val="Default"/>
    <w:uiPriority w:val="0"/>
    <w:pPr>
      <w:widowControl w:val="0"/>
      <w:autoSpaceDE w:val="0"/>
      <w:autoSpaceDN w:val="0"/>
      <w:adjustRightInd w:val="0"/>
    </w:pPr>
    <w:rPr>
      <w:rFonts w:ascii="宋体"/>
      <w:color w:val="000000"/>
      <w:sz w:val="24"/>
      <w:lang w:val="en-US" w:eastAsia="zh-CN" w:bidi="ar-SA"/>
    </w:rPr>
  </w:style>
  <w:style w:type="paragraph" w:customStyle="1" w:styleId="247">
    <w:name w:val="样式1 加粗 居中 首行缩进:  0.74 厘米 段前: 0.1 行"/>
    <w:basedOn w:val="1"/>
    <w:uiPriority w:val="0"/>
    <w:pPr>
      <w:spacing w:line="276" w:lineRule="auto"/>
      <w:ind w:firstLine="420"/>
      <w:jc w:val="center"/>
    </w:pPr>
    <w:rPr>
      <w:b/>
    </w:rPr>
  </w:style>
  <w:style w:type="paragraph" w:customStyle="1" w:styleId="248">
    <w:name w:val="CM54"/>
    <w:basedOn w:val="246"/>
    <w:next w:val="246"/>
    <w:uiPriority w:val="0"/>
    <w:rPr>
      <w:rFonts w:ascii="Times New Roman"/>
      <w:color w:val="auto"/>
    </w:rPr>
  </w:style>
  <w:style w:type="paragraph" w:customStyle="1" w:styleId="249">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250">
    <w:name w:val="样式 Times New Roman 首行缩进:  0.74 厘米 段前: 0.1 行"/>
    <w:basedOn w:val="1"/>
    <w:uiPriority w:val="0"/>
    <w:pPr>
      <w:spacing w:beforeLines="10" w:line="312" w:lineRule="auto"/>
      <w:ind w:firstLine="420"/>
    </w:pPr>
    <w:rPr>
      <w:b/>
    </w:rPr>
  </w:style>
  <w:style w:type="paragraph" w:customStyle="1" w:styleId="251">
    <w:name w:val="封面标准文稿类别"/>
    <w:uiPriority w:val="0"/>
    <w:pPr>
      <w:widowControl w:val="0"/>
      <w:adjustRightInd w:val="0"/>
      <w:spacing w:before="440" w:line="400" w:lineRule="exact"/>
      <w:jc w:val="center"/>
      <w:textAlignment w:val="baseline"/>
    </w:pPr>
    <w:rPr>
      <w:rFonts w:ascii="宋体"/>
      <w:sz w:val="24"/>
      <w:lang w:val="en-US" w:eastAsia="zh-CN" w:bidi="ar-SA"/>
    </w:rPr>
  </w:style>
  <w:style w:type="paragraph" w:customStyle="1" w:styleId="252">
    <w:name w:val="样式1 样式 标题 5 + 段前: 0 行"/>
    <w:basedOn w:val="253"/>
    <w:next w:val="1"/>
    <w:uiPriority w:val="0"/>
    <w:pPr>
      <w:tabs>
        <w:tab w:val="left" w:pos="1050"/>
        <w:tab w:val="left" w:pos="1080"/>
      </w:tabs>
      <w:spacing w:beforeLines="0" w:line="276" w:lineRule="auto"/>
    </w:pPr>
  </w:style>
  <w:style w:type="paragraph" w:customStyle="1" w:styleId="253">
    <w:name w:val="样式 标题 5 + 段前: 0.1 行"/>
    <w:basedOn w:val="8"/>
    <w:uiPriority w:val="0"/>
    <w:pPr>
      <w:keepNext w:val="0"/>
      <w:keepLines w:val="0"/>
      <w:tabs>
        <w:tab w:val="left" w:pos="0"/>
        <w:tab w:val="left" w:pos="210"/>
      </w:tabs>
      <w:topLinePunct w:val="0"/>
      <w:adjustRightInd/>
      <w:spacing w:beforeLines="10" w:after="0" w:line="312" w:lineRule="auto"/>
    </w:pPr>
    <w:rPr>
      <w:sz w:val="21"/>
    </w:rPr>
  </w:style>
  <w:style w:type="paragraph" w:customStyle="1" w:styleId="254">
    <w:name w:val="默认段落字体 Para Char Char Char Char"/>
    <w:basedOn w:val="1"/>
    <w:uiPriority w:val="0"/>
  </w:style>
  <w:style w:type="paragraph" w:customStyle="1" w:styleId="255">
    <w:name w:val="样式 Times New Roman 段前: 0.1 行 行距: 多倍行距 1.25 字行"/>
    <w:basedOn w:val="1"/>
    <w:uiPriority w:val="0"/>
    <w:pPr>
      <w:spacing w:line="276" w:lineRule="auto"/>
    </w:pPr>
    <w:rPr>
      <w:rFonts w:hAnsi="宋体"/>
    </w:rPr>
  </w:style>
  <w:style w:type="paragraph" w:customStyle="1" w:styleId="256">
    <w:name w:val="样式 标题 1 + 加粗"/>
    <w:basedOn w:val="4"/>
    <w:uiPriority w:val="0"/>
    <w:pPr>
      <w:keepLines/>
      <w:spacing w:beforeLines="100" w:afterLines="100" w:line="240" w:lineRule="auto"/>
      <w:ind w:firstLine="0"/>
    </w:pPr>
    <w:rPr>
      <w:rFonts w:eastAsia="黑体"/>
      <w:b/>
      <w:bCs/>
      <w:color w:val="auto"/>
      <w:kern w:val="44"/>
      <w:sz w:val="28"/>
      <w:szCs w:val="28"/>
    </w:rPr>
  </w:style>
  <w:style w:type="paragraph" w:customStyle="1" w:styleId="257">
    <w:name w:val="样式 章标题 + 小四 段前: 0.5 行 段后: 0.5 行"/>
    <w:basedOn w:val="258"/>
    <w:uiPriority w:val="0"/>
    <w:pPr>
      <w:widowControl/>
      <w:numPr>
        <w:ilvl w:val="0"/>
        <w:numId w:val="4"/>
      </w:numPr>
      <w:tabs>
        <w:tab w:val="left" w:pos="420"/>
      </w:tabs>
      <w:adjustRightInd/>
      <w:spacing w:beforeLines="0" w:afterLines="0" w:line="240" w:lineRule="auto"/>
      <w:textAlignment w:val="auto"/>
    </w:pPr>
    <w:rPr>
      <w:b/>
      <w:sz w:val="24"/>
    </w:rPr>
  </w:style>
  <w:style w:type="paragraph" w:customStyle="1" w:styleId="258">
    <w:name w:val="章标题"/>
    <w:next w:val="144"/>
    <w:uiPriority w:val="0"/>
    <w:pPr>
      <w:widowControl w:val="0"/>
      <w:adjustRightInd w:val="0"/>
      <w:spacing w:beforeLines="50" w:afterLines="50" w:line="360" w:lineRule="atLeast"/>
      <w:jc w:val="both"/>
      <w:textAlignment w:val="baseline"/>
      <w:outlineLvl w:val="1"/>
    </w:pPr>
    <w:rPr>
      <w:rFonts w:ascii="黑体" w:eastAsia="黑体"/>
      <w:sz w:val="21"/>
      <w:lang w:val="en-US" w:eastAsia="zh-CN" w:bidi="ar-SA"/>
    </w:rPr>
  </w:style>
  <w:style w:type="paragraph" w:customStyle="1" w:styleId="259">
    <w:name w:val="样式 Times New Roman 段前: 0.1 行"/>
    <w:basedOn w:val="1"/>
    <w:uiPriority w:val="0"/>
    <w:pPr>
      <w:spacing w:beforeLines="10" w:line="300" w:lineRule="auto"/>
      <w:ind w:firstLine="200" w:firstLineChars="200"/>
    </w:pPr>
  </w:style>
  <w:style w:type="paragraph" w:customStyle="1" w:styleId="260">
    <w:name w:val="列项●（二级）"/>
    <w:uiPriority w:val="0"/>
    <w:pPr>
      <w:widowControl w:val="0"/>
      <w:numPr>
        <w:ilvl w:val="0"/>
        <w:numId w:val="5"/>
      </w:numPr>
      <w:tabs>
        <w:tab w:val="left" w:pos="840"/>
      </w:tabs>
      <w:adjustRightInd w:val="0"/>
      <w:spacing w:line="360" w:lineRule="atLeast"/>
      <w:ind w:left="600" w:leftChars="400" w:hanging="200"/>
      <w:jc w:val="both"/>
      <w:textAlignment w:val="baseline"/>
    </w:pPr>
    <w:rPr>
      <w:rFonts w:ascii="宋体"/>
      <w:sz w:val="21"/>
      <w:lang w:val="en-US" w:eastAsia="zh-CN" w:bidi="ar-SA"/>
    </w:rPr>
  </w:style>
  <w:style w:type="paragraph" w:customStyle="1" w:styleId="261">
    <w:name w:val="样式 样式1 标题 1 + 段前: 0.7 行 段后: 0.7 行 + 段前: 1 行 段后: 1 行 + 段前: 0.7 行..."/>
    <w:basedOn w:val="262"/>
    <w:uiPriority w:val="0"/>
    <w:pPr>
      <w:tabs>
        <w:tab w:val="left" w:pos="360"/>
      </w:tabs>
      <w:spacing w:beforeLines="0" w:afterLines="0"/>
    </w:pPr>
  </w:style>
  <w:style w:type="paragraph" w:customStyle="1" w:styleId="262">
    <w:name w:val="样式1 标题 1 + 段前: 1 行 段后: 1 行"/>
    <w:basedOn w:val="263"/>
    <w:uiPriority w:val="0"/>
    <w:pPr>
      <w:tabs>
        <w:tab w:val="left" w:pos="360"/>
      </w:tabs>
      <w:spacing w:beforeLines="100" w:afterLines="100"/>
    </w:pPr>
    <w:rPr>
      <w:rFonts w:eastAsia="黑体"/>
      <w:b w:val="0"/>
    </w:rPr>
  </w:style>
  <w:style w:type="paragraph" w:customStyle="1" w:styleId="263">
    <w:name w:val="样式 标题 1 + 段前: 0.7 行 段后: 0.7 行"/>
    <w:basedOn w:val="4"/>
    <w:uiPriority w:val="0"/>
    <w:pPr>
      <w:keepLines/>
      <w:tabs>
        <w:tab w:val="left" w:pos="360"/>
      </w:tabs>
      <w:spacing w:beforeLines="70" w:afterLines="70" w:line="240" w:lineRule="auto"/>
      <w:ind w:firstLine="0"/>
      <w:jc w:val="left"/>
    </w:pPr>
    <w:rPr>
      <w:b/>
      <w:color w:val="auto"/>
      <w:kern w:val="21"/>
      <w:sz w:val="21"/>
    </w:rPr>
  </w:style>
  <w:style w:type="paragraph" w:customStyle="1" w:styleId="264">
    <w:name w:val="样式4"/>
    <w:basedOn w:val="265"/>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265">
    <w:name w:val="样式3"/>
    <w:basedOn w:val="112"/>
    <w:uiPriority w:val="0"/>
  </w:style>
  <w:style w:type="paragraph" w:customStyle="1" w:styleId="266">
    <w:name w:val="a.a.a"/>
    <w:basedOn w:val="1"/>
    <w:uiPriority w:val="0"/>
    <w:pPr>
      <w:spacing w:beforeLines="50" w:afterLines="50"/>
      <w:jc w:val="left"/>
      <w:outlineLvl w:val="2"/>
    </w:pPr>
    <w:rPr>
      <w:rFonts w:ascii="黑体" w:hAnsi="宋体" w:eastAsia="黑体"/>
      <w:sz w:val="24"/>
    </w:rPr>
  </w:style>
  <w:style w:type="paragraph" w:customStyle="1" w:styleId="267">
    <w:name w:val="样式 样式1 正文（首行缩进两字） Char + 黑色 首行缩进:  2 字符 段前: 0 行 行距: 多倍行距 1.15 ....."/>
    <w:basedOn w:val="268"/>
    <w:uiPriority w:val="0"/>
    <w:pPr>
      <w:tabs>
        <w:tab w:val="left" w:pos="3885"/>
      </w:tabs>
      <w:spacing w:beforeLines="50"/>
    </w:pPr>
  </w:style>
  <w:style w:type="paragraph" w:customStyle="1" w:styleId="268">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269">
    <w:name w:val="工程建设款标题"/>
    <w:basedOn w:val="270"/>
    <w:uiPriority w:val="0"/>
    <w:pPr>
      <w:numPr>
        <w:ilvl w:val="7"/>
        <w:numId w:val="2"/>
      </w:numPr>
      <w:tabs>
        <w:tab w:val="left" w:pos="1260"/>
        <w:tab w:val="left" w:pos="1680"/>
        <w:tab w:val="left" w:pos="2100"/>
      </w:tabs>
      <w:outlineLvl w:val="9"/>
    </w:pPr>
  </w:style>
  <w:style w:type="paragraph" w:customStyle="1" w:styleId="270">
    <w:name w:val="工程建设条标题"/>
    <w:basedOn w:val="271"/>
    <w:next w:val="144"/>
    <w:uiPriority w:val="0"/>
    <w:pPr>
      <w:numPr>
        <w:ilvl w:val="3"/>
        <w:numId w:val="2"/>
      </w:numPr>
      <w:tabs>
        <w:tab w:val="left" w:pos="1260"/>
        <w:tab w:val="left" w:pos="1680"/>
      </w:tabs>
      <w:spacing w:before="0" w:after="0"/>
      <w:ind w:leftChars="0" w:firstLineChars="0"/>
      <w:jc w:val="left"/>
      <w:outlineLvl w:val="3"/>
    </w:pPr>
    <w:rPr>
      <w:b w:val="0"/>
    </w:rPr>
  </w:style>
  <w:style w:type="paragraph" w:customStyle="1" w:styleId="271">
    <w:name w:val="工程建设节标题"/>
    <w:basedOn w:val="272"/>
    <w:next w:val="144"/>
    <w:uiPriority w:val="0"/>
    <w:pPr>
      <w:numPr>
        <w:ilvl w:val="2"/>
        <w:numId w:val="2"/>
      </w:numPr>
      <w:tabs>
        <w:tab w:val="left" w:pos="1260"/>
      </w:tabs>
      <w:spacing w:before="400" w:after="400" w:line="240" w:lineRule="auto"/>
      <w:ind w:leftChars="0" w:firstLineChars="0"/>
      <w:outlineLvl w:val="2"/>
    </w:pPr>
    <w:rPr>
      <w:sz w:val="21"/>
    </w:rPr>
  </w:style>
  <w:style w:type="paragraph" w:customStyle="1" w:styleId="272">
    <w:name w:val="工程建设章标题"/>
    <w:next w:val="144"/>
    <w:uiPriority w:val="0"/>
    <w:pPr>
      <w:numPr>
        <w:ilvl w:val="1"/>
        <w:numId w:val="2"/>
      </w:numPr>
      <w:spacing w:before="640" w:after="560" w:line="480" w:lineRule="exact"/>
      <w:jc w:val="center"/>
      <w:outlineLvl w:val="1"/>
    </w:pPr>
    <w:rPr>
      <w:rFonts w:ascii="黑体" w:eastAsia="黑体"/>
      <w:b/>
      <w:sz w:val="28"/>
      <w:lang w:val="en-US" w:eastAsia="zh-CN" w:bidi="ar-SA"/>
    </w:rPr>
  </w:style>
  <w:style w:type="paragraph" w:customStyle="1" w:styleId="273">
    <w:name w:val="引言一级条标题"/>
    <w:basedOn w:val="1"/>
    <w:next w:val="144"/>
    <w:uiPriority w:val="0"/>
    <w:pPr>
      <w:widowControl/>
      <w:numPr>
        <w:ilvl w:val="0"/>
        <w:numId w:val="6"/>
      </w:numPr>
    </w:pPr>
    <w:rPr>
      <w:rFonts w:eastAsia="黑体"/>
      <w:b/>
    </w:rPr>
  </w:style>
  <w:style w:type="paragraph" w:customStyle="1" w:styleId="274">
    <w:name w:val="工程建设公式标题"/>
    <w:basedOn w:val="270"/>
    <w:uiPriority w:val="0"/>
    <w:pPr>
      <w:numPr>
        <w:ilvl w:val="6"/>
        <w:numId w:val="2"/>
      </w:numPr>
      <w:jc w:val="center"/>
      <w:outlineLvl w:val="6"/>
    </w:pPr>
  </w:style>
  <w:style w:type="paragraph" w:customStyle="1" w:styleId="275">
    <w:name w:val="样式 正文（首行缩进两字） Char + 黑色 首行缩进:  2 字符 段前: 0.1 行"/>
    <w:basedOn w:val="152"/>
    <w:uiPriority w:val="0"/>
    <w:pPr>
      <w:spacing w:before="24" w:afterLines="10"/>
      <w:ind w:firstLine="200"/>
    </w:pPr>
    <w:rPr>
      <w:color w:val="000000"/>
    </w:rPr>
  </w:style>
  <w:style w:type="paragraph" w:customStyle="1" w:styleId="276">
    <w:name w:val="注：（正文）"/>
    <w:basedOn w:val="277"/>
    <w:next w:val="144"/>
    <w:uiPriority w:val="0"/>
    <w:pPr>
      <w:numPr>
        <w:ilvl w:val="0"/>
        <w:numId w:val="7"/>
      </w:numPr>
      <w:tabs>
        <w:tab w:val="left" w:pos="780"/>
        <w:tab w:val="left" w:pos="918"/>
      </w:tabs>
      <w:adjustRightInd w:val="0"/>
      <w:spacing w:line="360" w:lineRule="atLeast"/>
      <w:textAlignment w:val="baseline"/>
    </w:pPr>
  </w:style>
  <w:style w:type="paragraph" w:customStyle="1" w:styleId="277">
    <w:name w:val="注："/>
    <w:next w:val="1"/>
    <w:uiPriority w:val="0"/>
    <w:pPr>
      <w:widowControl w:val="0"/>
      <w:tabs>
        <w:tab w:val="left" w:pos="780"/>
      </w:tabs>
      <w:autoSpaceDE w:val="0"/>
      <w:autoSpaceDN w:val="0"/>
      <w:ind w:left="780" w:hanging="360"/>
      <w:jc w:val="both"/>
    </w:pPr>
    <w:rPr>
      <w:rFonts w:ascii="宋体"/>
      <w:sz w:val="18"/>
      <w:lang w:val="en-US" w:eastAsia="zh-CN" w:bidi="ar-SA"/>
    </w:rPr>
  </w:style>
  <w:style w:type="paragraph" w:customStyle="1" w:styleId="278">
    <w:name w:val="术语定义二级条标题"/>
    <w:basedOn w:val="279"/>
    <w:next w:val="144"/>
    <w:uiPriority w:val="0"/>
    <w:pPr>
      <w:tabs>
        <w:tab w:val="left" w:pos="420"/>
        <w:tab w:val="left" w:pos="1155"/>
      </w:tabs>
      <w:ind w:left="1155"/>
    </w:pPr>
  </w:style>
  <w:style w:type="paragraph" w:customStyle="1" w:styleId="279">
    <w:name w:val="术语定义条标题"/>
    <w:basedOn w:val="258"/>
    <w:next w:val="144"/>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80">
    <w:name w:val="样式1 样式 编号 a + Times New Roman 段前: 0 行 行距: 多倍行距 1.15 字行 + 左侧....."/>
    <w:basedOn w:val="281"/>
    <w:uiPriority w:val="0"/>
    <w:pPr>
      <w:ind w:left="400" w:leftChars="200"/>
    </w:pPr>
  </w:style>
  <w:style w:type="paragraph" w:customStyle="1" w:styleId="281">
    <w:name w:val="样式1 样式 编号 a + Times New Roman 段前: 0 行 行距: 多倍行距 1.15 字行 + 左侧... + ..."/>
    <w:basedOn w:val="240"/>
    <w:uiPriority w:val="0"/>
    <w:pPr>
      <w:spacing w:before="0" w:afterLines="0"/>
      <w:ind w:left="620" w:hanging="200" w:hangingChars="200"/>
    </w:pPr>
  </w:style>
  <w:style w:type="paragraph" w:customStyle="1" w:styleId="282">
    <w:name w:val="封面标准号2"/>
    <w:basedOn w:val="283"/>
    <w:uiPriority w:val="0"/>
    <w:pPr>
      <w:spacing w:before="357" w:line="280" w:lineRule="exact"/>
    </w:pPr>
  </w:style>
  <w:style w:type="paragraph" w:customStyle="1" w:styleId="283">
    <w:name w:val="封面标准号1"/>
    <w:uiPriority w:val="0"/>
    <w:pPr>
      <w:widowControl w:val="0"/>
      <w:kinsoku w:val="0"/>
      <w:overflowPunct w:val="0"/>
      <w:autoSpaceDE w:val="0"/>
      <w:autoSpaceDN w:val="0"/>
      <w:adjustRightInd w:val="0"/>
      <w:spacing w:before="308" w:line="360" w:lineRule="atLeast"/>
      <w:jc w:val="right"/>
      <w:textAlignment w:val="center"/>
    </w:pPr>
    <w:rPr>
      <w:sz w:val="28"/>
      <w:lang w:val="en-US" w:eastAsia="zh-CN" w:bidi="ar-SA"/>
    </w:rPr>
  </w:style>
  <w:style w:type="paragraph" w:customStyle="1" w:styleId="284">
    <w:name w:val="样式 段前: 0.1 行1"/>
    <w:basedOn w:val="1"/>
    <w:uiPriority w:val="0"/>
    <w:pPr>
      <w:spacing w:beforeLines="10" w:line="312" w:lineRule="auto"/>
    </w:pPr>
  </w:style>
  <w:style w:type="paragraph" w:customStyle="1" w:styleId="285">
    <w:name w:val="Char Char1 Char Char Char"/>
    <w:basedOn w:val="26"/>
    <w:uiPriority w:val="0"/>
  </w:style>
  <w:style w:type="paragraph" w:customStyle="1" w:styleId="286">
    <w:name w:val="封面标准代替信息"/>
    <w:basedOn w:val="282"/>
    <w:uiPriority w:val="0"/>
    <w:pPr>
      <w:spacing w:before="57"/>
    </w:pPr>
    <w:rPr>
      <w:rFonts w:ascii="宋体"/>
      <w:sz w:val="21"/>
    </w:rPr>
  </w:style>
  <w:style w:type="paragraph" w:customStyle="1" w:styleId="287">
    <w:name w:val="p0"/>
    <w:basedOn w:val="1"/>
    <w:uiPriority w:val="0"/>
    <w:pPr>
      <w:widowControl/>
      <w:spacing w:after="200" w:line="273" w:lineRule="auto"/>
      <w:jc w:val="left"/>
    </w:pPr>
    <w:rPr>
      <w:rFonts w:ascii="Calibri" w:hAnsi="Calibri" w:cs="宋体"/>
      <w:kern w:val="0"/>
      <w:sz w:val="22"/>
      <w:szCs w:val="22"/>
    </w:rPr>
  </w:style>
  <w:style w:type="paragraph" w:customStyle="1" w:styleId="288">
    <w:name w:val="正文-d"/>
    <w:basedOn w:val="1"/>
    <w:uiPriority w:val="0"/>
    <w:pPr>
      <w:ind w:firstLine="200" w:firstLineChars="200"/>
    </w:pPr>
    <w:rPr>
      <w:szCs w:val="21"/>
    </w:rPr>
  </w:style>
  <w:style w:type="paragraph" w:customStyle="1" w:styleId="289">
    <w:name w:val="工程建设图标题"/>
    <w:basedOn w:val="270"/>
    <w:uiPriority w:val="0"/>
    <w:pPr>
      <w:numPr>
        <w:ilvl w:val="5"/>
        <w:numId w:val="2"/>
      </w:numPr>
      <w:ind w:leftChars="0" w:firstLineChars="0"/>
      <w:jc w:val="center"/>
      <w:outlineLvl w:val="5"/>
    </w:pPr>
  </w:style>
  <w:style w:type="paragraph" w:customStyle="1" w:styleId="290">
    <w:name w:val="普通文字"/>
    <w:basedOn w:val="1"/>
    <w:next w:val="1"/>
    <w:qFormat/>
    <w:uiPriority w:val="0"/>
    <w:rPr>
      <w:rFonts w:ascii="宋体"/>
      <w:kern w:val="0"/>
      <w:sz w:val="24"/>
      <w:u w:val="none" w:color="000000"/>
    </w:rPr>
  </w:style>
  <w:style w:type="paragraph" w:customStyle="1" w:styleId="291">
    <w:name w:val="样式1 标题 1 + 段前: 0.7 行 段后: 0.7 行 + 段前: 1 行 段后: 1 行"/>
    <w:basedOn w:val="263"/>
    <w:uiPriority w:val="0"/>
    <w:pPr>
      <w:tabs>
        <w:tab w:val="left" w:pos="1021"/>
        <w:tab w:val="clear" w:pos="360"/>
      </w:tabs>
      <w:spacing w:beforeLines="100" w:afterLines="100"/>
    </w:pPr>
  </w:style>
  <w:style w:type="paragraph" w:customStyle="1" w:styleId="292">
    <w:name w:val="_列项符号2"/>
    <w:basedOn w:val="25"/>
    <w:uiPriority w:val="0"/>
    <w:pPr>
      <w:tabs>
        <w:tab w:val="left" w:pos="820"/>
      </w:tabs>
      <w:snapToGrid w:val="0"/>
      <w:spacing w:line="276" w:lineRule="auto"/>
      <w:ind w:left="820" w:hanging="420"/>
    </w:pPr>
  </w:style>
  <w:style w:type="paragraph" w:customStyle="1" w:styleId="293">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294">
    <w:name w:val="样式 标题 5 + 黑色 段前: 1.2 磅"/>
    <w:basedOn w:val="1"/>
    <w:uiPriority w:val="0"/>
    <w:pPr>
      <w:tabs>
        <w:tab w:val="left" w:pos="1200"/>
      </w:tabs>
      <w:spacing w:line="300" w:lineRule="auto"/>
    </w:pPr>
    <w:rPr>
      <w:rFonts w:ascii="Arial" w:hAnsi="Arial"/>
    </w:rPr>
  </w:style>
  <w:style w:type="paragraph" w:customStyle="1" w:styleId="295">
    <w:name w:val="朱1"/>
    <w:basedOn w:val="112"/>
    <w:uiPriority w:val="0"/>
  </w:style>
  <w:style w:type="paragraph" w:customStyle="1" w:styleId="296">
    <w:name w:val="附录标题"/>
    <w:basedOn w:val="58"/>
    <w:uiPriority w:val="0"/>
    <w:pPr>
      <w:topLinePunct w:val="0"/>
      <w:adjustRightInd/>
      <w:spacing w:beforeLines="25" w:afterLines="25"/>
    </w:pPr>
    <w:rPr>
      <w:rFonts w:ascii="Times New Roman" w:hAnsi="Times New Roman" w:eastAsia="黑体"/>
      <w:b w:val="0"/>
    </w:rPr>
  </w:style>
  <w:style w:type="paragraph" w:customStyle="1" w:styleId="297">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298">
    <w:name w:val="CM64"/>
    <w:basedOn w:val="246"/>
    <w:next w:val="246"/>
    <w:uiPriority w:val="0"/>
    <w:rPr>
      <w:rFonts w:ascii="Times New Roman"/>
      <w:color w:val="auto"/>
    </w:rPr>
  </w:style>
  <w:style w:type="paragraph" w:customStyle="1" w:styleId="299">
    <w:name w:val="样式 标题 5 + 段前: 0.1 行2"/>
    <w:basedOn w:val="252"/>
    <w:next w:val="252"/>
    <w:uiPriority w:val="0"/>
    <w:pPr>
      <w:tabs>
        <w:tab w:val="left" w:pos="1134"/>
        <w:tab w:val="clear" w:pos="1050"/>
        <w:tab w:val="clear" w:pos="1080"/>
      </w:tabs>
      <w:spacing w:beforeLines="30" w:afterLines="50"/>
    </w:pPr>
    <w:rPr>
      <w:rFonts w:eastAsia="黑体"/>
      <w:b w:val="0"/>
    </w:rPr>
  </w:style>
  <w:style w:type="paragraph" w:customStyle="1" w:styleId="300">
    <w:name w:val="节标签"/>
    <w:basedOn w:val="301"/>
    <w:next w:val="31"/>
    <w:uiPriority w:val="0"/>
    <w:pPr>
      <w:spacing w:before="400" w:after="440"/>
    </w:pPr>
    <w:rPr>
      <w:rFonts w:ascii="Times New Roman" w:hAnsi="Times New Roman"/>
      <w:spacing w:val="-30"/>
      <w:sz w:val="60"/>
    </w:rPr>
  </w:style>
  <w:style w:type="paragraph" w:customStyle="1" w:styleId="301">
    <w:name w:val="基准标题"/>
    <w:basedOn w:val="1"/>
    <w:next w:val="31"/>
    <w:uiPriority w:val="0"/>
    <w:pPr>
      <w:keepNext/>
      <w:keepLines/>
      <w:widowControl/>
      <w:spacing w:before="140" w:line="220" w:lineRule="atLeast"/>
      <w:jc w:val="left"/>
    </w:pPr>
    <w:rPr>
      <w:rFonts w:ascii="Arial" w:hAnsi="Arial"/>
      <w:spacing w:val="-4"/>
      <w:kern w:val="28"/>
      <w:sz w:val="22"/>
    </w:rPr>
  </w:style>
  <w:style w:type="paragraph" w:customStyle="1" w:styleId="302">
    <w:name w:val="样式 样式 样式 段前: 0.1 行 + 段前: 0.1 行 + 左侧:  2 字符 段前: 0.1 行"/>
    <w:basedOn w:val="303"/>
    <w:uiPriority w:val="0"/>
    <w:pPr>
      <w:spacing w:beforeLines="0" w:line="276" w:lineRule="auto"/>
      <w:ind w:left="420"/>
    </w:pPr>
  </w:style>
  <w:style w:type="paragraph" w:customStyle="1" w:styleId="303">
    <w:name w:val="样式 样式 段前: 0.1 行 + 段前: 0.1 行"/>
    <w:basedOn w:val="304"/>
    <w:uiPriority w:val="0"/>
    <w:pPr>
      <w:ind w:left="200" w:leftChars="200"/>
    </w:pPr>
  </w:style>
  <w:style w:type="paragraph" w:customStyle="1" w:styleId="304">
    <w:name w:val="样式 段前: 0.1 行"/>
    <w:basedOn w:val="1"/>
    <w:uiPriority w:val="0"/>
    <w:pPr>
      <w:spacing w:beforeLines="10" w:line="300" w:lineRule="auto"/>
    </w:pPr>
  </w:style>
  <w:style w:type="paragraph" w:customStyle="1" w:styleId="305">
    <w:name w:val="样式8"/>
    <w:basedOn w:val="1"/>
    <w:uiPriority w:val="0"/>
    <w:pPr>
      <w:wordWrap w:val="0"/>
      <w:spacing w:before="400" w:after="40" w:line="360" w:lineRule="exact"/>
      <w:ind w:right="284"/>
      <w:jc w:val="right"/>
    </w:pPr>
    <w:rPr>
      <w:rFonts w:ascii="E-FZ"/>
      <w:sz w:val="28"/>
      <w:szCs w:val="24"/>
    </w:rPr>
  </w:style>
  <w:style w:type="paragraph" w:customStyle="1" w:styleId="306">
    <w:name w:val="目次、标准名称标题"/>
    <w:basedOn w:val="307"/>
    <w:next w:val="144"/>
    <w:uiPriority w:val="0"/>
    <w:pPr>
      <w:spacing w:line="460" w:lineRule="exact"/>
    </w:pPr>
  </w:style>
  <w:style w:type="paragraph" w:customStyle="1" w:styleId="307">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eastAsia="黑体"/>
      <w:sz w:val="32"/>
      <w:lang w:val="en-US" w:eastAsia="zh-CN" w:bidi="ar-SA"/>
    </w:rPr>
  </w:style>
  <w:style w:type="paragraph" w:customStyle="1" w:styleId="308">
    <w:name w:val="样式 样式 正文缩进正文缩进 Char正文（首行缩进两字） Char Char正文（首行缩进两字） Char1正文（首行缩进两....1"/>
    <w:basedOn w:val="124"/>
    <w:uiPriority w:val="0"/>
    <w:pPr>
      <w:spacing w:beforeLines="0" w:line="276" w:lineRule="auto"/>
      <w:ind w:firstLine="420"/>
    </w:pPr>
  </w:style>
  <w:style w:type="paragraph" w:customStyle="1" w:styleId="309">
    <w:name w:val="a.a"/>
    <w:basedOn w:val="5"/>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310">
    <w:name w:val="样式7"/>
    <w:basedOn w:val="4"/>
    <w:uiPriority w:val="0"/>
    <w:pPr>
      <w:topLinePunct/>
      <w:spacing w:before="120" w:after="120" w:line="360" w:lineRule="auto"/>
      <w:ind w:firstLine="0"/>
      <w:jc w:val="center"/>
    </w:pPr>
    <w:rPr>
      <w:rFonts w:hAnsi="宋体" w:eastAsia="黑体"/>
      <w:sz w:val="44"/>
    </w:rPr>
  </w:style>
  <w:style w:type="paragraph" w:customStyle="1" w:styleId="311">
    <w:name w:val="样式 题目封页 + (西文) 华文中宋 (中文) 华文中宋 32 磅 黑色 两端对齐 段前: 3 磅 段后: 3 磅..."/>
    <w:basedOn w:val="312"/>
    <w:uiPriority w:val="0"/>
    <w:pPr>
      <w:spacing w:before="60" w:after="60" w:line="300" w:lineRule="auto"/>
      <w:jc w:val="both"/>
    </w:pPr>
    <w:rPr>
      <w:rFonts w:ascii="华文中宋" w:hAnsi="华文中宋" w:eastAsia="华文中宋"/>
      <w:color w:val="000000"/>
      <w:spacing w:val="24"/>
      <w:kern w:val="2"/>
      <w:sz w:val="60"/>
    </w:rPr>
  </w:style>
  <w:style w:type="paragraph" w:customStyle="1" w:styleId="312">
    <w:name w:val="题目封页"/>
    <w:basedOn w:val="301"/>
    <w:next w:val="313"/>
    <w:uiPriority w:val="0"/>
    <w:pPr>
      <w:spacing w:before="1800" w:line="240" w:lineRule="atLeast"/>
      <w:jc w:val="center"/>
    </w:pPr>
    <w:rPr>
      <w:rFonts w:ascii="黑体" w:eastAsia="黑体"/>
      <w:b/>
      <w:spacing w:val="0"/>
      <w:sz w:val="52"/>
    </w:rPr>
  </w:style>
  <w:style w:type="paragraph" w:customStyle="1" w:styleId="313">
    <w:name w:val="副题目 – 封页"/>
    <w:basedOn w:val="312"/>
    <w:next w:val="31"/>
    <w:uiPriority w:val="0"/>
    <w:pPr>
      <w:keepNext w:val="0"/>
      <w:keepLines w:val="0"/>
      <w:widowControl w:val="0"/>
      <w:spacing w:before="0" w:after="60" w:line="240" w:lineRule="auto"/>
    </w:pPr>
    <w:rPr>
      <w:rFonts w:ascii="Arial"/>
      <w:snapToGrid w:val="0"/>
      <w:color w:val="000000"/>
      <w:sz w:val="28"/>
    </w:rPr>
  </w:style>
  <w:style w:type="paragraph" w:customStyle="1" w:styleId="314">
    <w:name w:val="Char Char Char Char Char Char Char Char Char1 Char Char Char"/>
    <w:basedOn w:val="1"/>
    <w:uiPriority w:val="0"/>
    <w:pPr>
      <w:spacing w:line="580" w:lineRule="exact"/>
      <w:ind w:firstLine="200" w:firstLineChars="200"/>
    </w:pPr>
  </w:style>
  <w:style w:type="paragraph" w:customStyle="1" w:styleId="315">
    <w:name w:val="Style 三级条标题 + Before:  6 pt"/>
    <w:basedOn w:val="227"/>
    <w:uiPriority w:val="0"/>
    <w:pPr>
      <w:widowControl/>
      <w:tabs>
        <w:tab w:val="left" w:pos="1440"/>
      </w:tabs>
      <w:adjustRightInd/>
      <w:spacing w:line="240" w:lineRule="auto"/>
      <w:textAlignment w:val="auto"/>
    </w:pPr>
    <w:rPr>
      <w:rFonts w:ascii="黑体"/>
    </w:rPr>
  </w:style>
  <w:style w:type="paragraph" w:customStyle="1" w:styleId="316">
    <w:name w:val="首页脚样式"/>
    <w:basedOn w:val="50"/>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317">
    <w:name w:val="样式 标题 2 + 五号"/>
    <w:basedOn w:val="5"/>
    <w:uiPriority w:val="0"/>
    <w:pPr>
      <w:spacing w:before="0" w:after="0" w:line="240" w:lineRule="auto"/>
      <w:ind w:firstLine="420"/>
      <w:jc w:val="both"/>
    </w:pPr>
    <w:rPr>
      <w:rFonts w:ascii="Times New Roman" w:hAnsi="Times New Roman"/>
      <w:bCs/>
      <w:kern w:val="2"/>
      <w:sz w:val="21"/>
      <w:szCs w:val="21"/>
    </w:rPr>
  </w:style>
  <w:style w:type="paragraph" w:customStyle="1" w:styleId="318">
    <w:name w:val="样式 正文（首行缩进两字） Char + 首行缩进:  2 字符"/>
    <w:basedOn w:val="152"/>
    <w:uiPriority w:val="0"/>
    <w:pPr>
      <w:spacing w:afterLines="10"/>
      <w:ind w:firstLine="200"/>
      <w:jc w:val="center"/>
    </w:pPr>
    <w:rPr>
      <w:b/>
    </w:rPr>
  </w:style>
  <w:style w:type="paragraph" w:customStyle="1" w:styleId="319">
    <w:name w:val="Char Char Char Char"/>
    <w:basedOn w:val="1"/>
    <w:uiPriority w:val="0"/>
    <w:rPr>
      <w:szCs w:val="24"/>
    </w:rPr>
  </w:style>
  <w:style w:type="paragraph" w:customStyle="1" w:styleId="320">
    <w:name w:val="样式 正文（首行缩进两字） Char + 加粗"/>
    <w:basedOn w:val="152"/>
    <w:uiPriority w:val="0"/>
    <w:pPr>
      <w:spacing w:afterLines="10"/>
      <w:ind w:firstLine="200"/>
    </w:pPr>
    <w:rPr>
      <w:b/>
    </w:rPr>
  </w:style>
  <w:style w:type="paragraph" w:customStyle="1" w:styleId="321">
    <w:name w:val="样式 Times New Roman 段前: 0.1 行 行距: 多倍行距 1.25 字行1"/>
    <w:basedOn w:val="1"/>
    <w:uiPriority w:val="0"/>
    <w:pPr>
      <w:spacing w:line="276" w:lineRule="auto"/>
      <w:ind w:firstLine="200" w:firstLineChars="200"/>
    </w:pPr>
    <w:rPr>
      <w:rFonts w:hAnsi="宋体"/>
    </w:rPr>
  </w:style>
  <w:style w:type="paragraph" w:customStyle="1" w:styleId="322">
    <w:name w:val="样式 样式 样式 悬挂缩进: 9 字符 段前: 0.1 行 + 左侧:  3.93 字符 悬挂缩进: 8 字符 段前: 0.1 ..."/>
    <w:basedOn w:val="152"/>
    <w:next w:val="1"/>
    <w:uiPriority w:val="0"/>
    <w:pPr>
      <w:tabs>
        <w:tab w:val="left" w:pos="0"/>
      </w:tabs>
      <w:spacing w:before="24" w:afterLines="10"/>
      <w:ind w:left="800" w:hanging="400" w:firstLineChars="0"/>
    </w:pPr>
  </w:style>
  <w:style w:type="paragraph" w:customStyle="1" w:styleId="323">
    <w:name w:val="式中"/>
    <w:next w:val="144"/>
    <w:uiPriority w:val="0"/>
    <w:pPr>
      <w:numPr>
        <w:ilvl w:val="0"/>
        <w:numId w:val="8"/>
      </w:numPr>
      <w:tabs>
        <w:tab w:val="left" w:pos="210"/>
      </w:tabs>
    </w:pPr>
    <w:rPr>
      <w:rFonts w:ascii="宋体"/>
      <w:sz w:val="18"/>
      <w:lang w:val="en-US" w:eastAsia="zh-CN" w:bidi="ar-SA"/>
    </w:rPr>
  </w:style>
  <w:style w:type="paragraph" w:customStyle="1" w:styleId="324">
    <w:name w:val="回信地址"/>
    <w:basedOn w:val="1"/>
    <w:uiPriority w:val="0"/>
    <w:pPr>
      <w:keepLines/>
      <w:widowControl/>
      <w:spacing w:line="220" w:lineRule="atLeast"/>
      <w:jc w:val="left"/>
    </w:pPr>
    <w:rPr>
      <w:rFonts w:ascii="Arial" w:hAnsi="Arial"/>
      <w:kern w:val="0"/>
      <w:sz w:val="15"/>
    </w:rPr>
  </w:style>
  <w:style w:type="paragraph" w:customStyle="1" w:styleId="325">
    <w:name w:val="正文_配电_小四"/>
    <w:basedOn w:val="1"/>
    <w:uiPriority w:val="0"/>
    <w:pPr>
      <w:spacing w:line="360" w:lineRule="auto"/>
      <w:ind w:firstLine="200" w:firstLineChars="200"/>
    </w:pPr>
    <w:rPr>
      <w:rFonts w:ascii="宋体" w:hAnsi="宋体"/>
      <w:kern w:val="0"/>
      <w:sz w:val="24"/>
    </w:rPr>
  </w:style>
  <w:style w:type="paragraph" w:customStyle="1" w:styleId="326">
    <w:name w:val="样式1 标题 5 + 段前: 0.1 行 + 段前: 0.1 行"/>
    <w:basedOn w:val="1"/>
    <w:uiPriority w:val="0"/>
    <w:pPr>
      <w:tabs>
        <w:tab w:val="left" w:pos="357"/>
        <w:tab w:val="left" w:pos="1134"/>
      </w:tabs>
      <w:spacing w:beforeLines="10" w:line="312" w:lineRule="auto"/>
    </w:pPr>
  </w:style>
  <w:style w:type="paragraph" w:customStyle="1" w:styleId="327">
    <w:name w:val="样式 标题 3H3l3CT小标题中h3sect1.2.33rd level3Head 3level_3PI..."/>
    <w:basedOn w:val="6"/>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28">
    <w:name w:val="样式1 标题 3 + 段前: 0.1 行 + 段前: 0.1 行 + 段前: 0.5 行 段后: 0.5 行"/>
    <w:basedOn w:val="234"/>
    <w:uiPriority w:val="0"/>
    <w:pPr>
      <w:tabs>
        <w:tab w:val="left" w:pos="700"/>
        <w:tab w:val="clear" w:pos="210"/>
        <w:tab w:val="clear" w:pos="630"/>
        <w:tab w:val="clear" w:pos="720"/>
      </w:tabs>
      <w:spacing w:beforeLines="30" w:afterLines="30" w:line="240" w:lineRule="auto"/>
    </w:pPr>
    <w:rPr>
      <w:rFonts w:eastAsia="黑体"/>
      <w:b w:val="0"/>
    </w:rPr>
  </w:style>
  <w:style w:type="paragraph" w:customStyle="1" w:styleId="329">
    <w:name w:val="a"/>
    <w:basedOn w:val="330"/>
    <w:uiPriority w:val="0"/>
    <w:pPr>
      <w:tabs>
        <w:tab w:val="left" w:pos="780"/>
      </w:tabs>
      <w:spacing w:beforeLines="0" w:afterLines="0" w:line="240" w:lineRule="auto"/>
    </w:pPr>
    <w:rPr>
      <w:b w:val="0"/>
      <w:sz w:val="30"/>
    </w:rPr>
  </w:style>
  <w:style w:type="paragraph" w:customStyle="1" w:styleId="330">
    <w:name w:val="样式 标题 1H1H11H12H13H14H15H16H17H18H19H110H111H112H1..."/>
    <w:basedOn w:val="4"/>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331">
    <w:name w:val="发布部门"/>
    <w:next w:val="144"/>
    <w:uiPriority w:val="0"/>
    <w:pPr>
      <w:widowControl w:val="0"/>
      <w:adjustRightInd w:val="0"/>
      <w:spacing w:line="360" w:lineRule="atLeast"/>
      <w:jc w:val="center"/>
      <w:textAlignment w:val="baseline"/>
    </w:pPr>
    <w:rPr>
      <w:rFonts w:ascii="宋体"/>
      <w:b/>
      <w:spacing w:val="20"/>
      <w:w w:val="135"/>
      <w:sz w:val="36"/>
      <w:lang w:val="en-US" w:eastAsia="zh-CN" w:bidi="ar-SA"/>
    </w:rPr>
  </w:style>
  <w:style w:type="paragraph" w:customStyle="1" w:styleId="332">
    <w:name w:val="正文_2"/>
    <w:basedOn w:val="1"/>
    <w:qFormat/>
    <w:uiPriority w:val="0"/>
    <w:rPr>
      <w:rFonts w:ascii="Calibri" w:hAnsi="Calibri"/>
      <w:szCs w:val="22"/>
    </w:rPr>
  </w:style>
  <w:style w:type="paragraph" w:customStyle="1" w:styleId="333">
    <w:name w:val="批注框文本 Char Char"/>
    <w:basedOn w:val="1"/>
    <w:uiPriority w:val="0"/>
    <w:rPr>
      <w:sz w:val="18"/>
      <w:szCs w:val="18"/>
    </w:rPr>
  </w:style>
  <w:style w:type="paragraph" w:customStyle="1" w:styleId="334">
    <w:name w:val="附录五级条标题"/>
    <w:basedOn w:val="335"/>
    <w:next w:val="144"/>
    <w:uiPriority w:val="0"/>
    <w:pPr>
      <w:outlineLvl w:val="6"/>
    </w:pPr>
  </w:style>
  <w:style w:type="paragraph" w:customStyle="1" w:styleId="335">
    <w:name w:val="附录四级条标题"/>
    <w:basedOn w:val="211"/>
    <w:next w:val="144"/>
    <w:uiPriority w:val="0"/>
    <w:pPr>
      <w:outlineLvl w:val="5"/>
    </w:pPr>
  </w:style>
  <w:style w:type="paragraph" w:customStyle="1" w:styleId="336">
    <w:name w:val="字母编号列项（一级）"/>
    <w:uiPriority w:val="0"/>
    <w:pPr>
      <w:widowControl w:val="0"/>
      <w:adjustRightInd w:val="0"/>
      <w:spacing w:line="360" w:lineRule="atLeast"/>
      <w:ind w:left="840" w:leftChars="200" w:hanging="420" w:hangingChars="200"/>
      <w:jc w:val="both"/>
      <w:textAlignment w:val="baseline"/>
    </w:pPr>
    <w:rPr>
      <w:rFonts w:ascii="宋体"/>
      <w:sz w:val="21"/>
      <w:lang w:val="en-US" w:eastAsia="zh-CN" w:bidi="ar-SA"/>
    </w:rPr>
  </w:style>
  <w:style w:type="paragraph" w:customStyle="1" w:styleId="337">
    <w:name w:val="引言二级条标题"/>
    <w:basedOn w:val="273"/>
    <w:next w:val="144"/>
    <w:uiPriority w:val="0"/>
    <w:pPr>
      <w:numPr>
        <w:ilvl w:val="1"/>
        <w:numId w:val="9"/>
      </w:numPr>
      <w:ind w:leftChars="0" w:firstLineChars="0"/>
    </w:pPr>
  </w:style>
  <w:style w:type="paragraph" w:customStyle="1" w:styleId="338">
    <w:name w:val="工程建设表标题"/>
    <w:basedOn w:val="270"/>
    <w:uiPriority w:val="0"/>
    <w:pPr>
      <w:numPr>
        <w:ilvl w:val="4"/>
        <w:numId w:val="2"/>
      </w:numPr>
      <w:jc w:val="center"/>
      <w:outlineLvl w:val="4"/>
    </w:pPr>
  </w:style>
  <w:style w:type="paragraph" w:customStyle="1" w:styleId="339">
    <w:name w:val="术语定义五级条标题"/>
    <w:basedOn w:val="258"/>
    <w:next w:val="144"/>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40">
    <w:name w:val="封面一致性程度标识"/>
    <w:uiPriority w:val="0"/>
    <w:pPr>
      <w:widowControl w:val="0"/>
      <w:adjustRightInd w:val="0"/>
      <w:spacing w:before="440" w:line="400" w:lineRule="exact"/>
      <w:jc w:val="center"/>
      <w:textAlignment w:val="baseline"/>
    </w:pPr>
    <w:rPr>
      <w:rFonts w:ascii="宋体"/>
      <w:sz w:val="28"/>
      <w:lang w:val="en-US" w:eastAsia="zh-CN" w:bidi="ar-SA"/>
    </w:rPr>
  </w:style>
  <w:style w:type="paragraph" w:customStyle="1" w:styleId="341">
    <w:name w:val="标题 3 + 小四 段前: 0 磅 段后: 0 磅 行距: 1.5 倍行距"/>
    <w:basedOn w:val="6"/>
    <w:next w:val="6"/>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342">
    <w:name w:val="样式 样式 正文（首行缩进两字） Char + 首行缩进:  2 字符 段前: 0.1 行 + 行距: 多倍行距 1.25 字行"/>
    <w:basedOn w:val="343"/>
    <w:uiPriority w:val="0"/>
  </w:style>
  <w:style w:type="paragraph" w:customStyle="1" w:styleId="343">
    <w:name w:val="样式 正文（首行缩进两字） Char + 首行缩进:  2 字符 段前: 0.1 行"/>
    <w:basedOn w:val="152"/>
    <w:uiPriority w:val="0"/>
    <w:pPr>
      <w:spacing w:afterLines="10" w:line="300" w:lineRule="auto"/>
      <w:ind w:firstLine="200"/>
    </w:pPr>
  </w:style>
  <w:style w:type="paragraph" w:customStyle="1" w:styleId="344">
    <w:name w:val="正文表标题"/>
    <w:next w:val="1"/>
    <w:uiPriority w:val="0"/>
    <w:pPr>
      <w:jc w:val="center"/>
    </w:pPr>
    <w:rPr>
      <w:rFonts w:ascii="黑体" w:eastAsia="黑体"/>
      <w:sz w:val="21"/>
      <w:lang w:val="en-US" w:eastAsia="zh-CN" w:bidi="ar-SA"/>
    </w:rPr>
  </w:style>
  <w:style w:type="paragraph" w:customStyle="1" w:styleId="345">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346">
    <w:name w:val="默认段落字体 Para Char Char Char Char Char"/>
    <w:basedOn w:val="1"/>
    <w:uiPriority w:val="0"/>
    <w:rPr>
      <w:rFonts w:ascii="宋体" w:hAnsi="宋体"/>
      <w:b/>
      <w:color w:val="000000"/>
      <w:sz w:val="24"/>
      <w:szCs w:val="24"/>
    </w:rPr>
  </w:style>
  <w:style w:type="paragraph" w:customStyle="1" w:styleId="347">
    <w:name w:val="Normal_0_0"/>
    <w:qFormat/>
    <w:uiPriority w:val="0"/>
    <w:rPr>
      <w:rFonts w:ascii="黑体" w:hAnsi="黑体" w:eastAsia="黑体"/>
      <w:b/>
      <w:sz w:val="32"/>
      <w:szCs w:val="24"/>
      <w:lang w:val="en-US" w:eastAsia="zh-CN" w:bidi="ar-SA"/>
    </w:rPr>
  </w:style>
  <w:style w:type="paragraph" w:customStyle="1" w:styleId="348">
    <w:name w:val="样式 标题 4 + Arial 段前: 0.1 行"/>
    <w:basedOn w:val="1"/>
    <w:uiPriority w:val="0"/>
    <w:pPr>
      <w:tabs>
        <w:tab w:val="left" w:pos="357"/>
        <w:tab w:val="left" w:pos="900"/>
      </w:tabs>
      <w:spacing w:beforeLines="10" w:line="312" w:lineRule="auto"/>
    </w:pPr>
  </w:style>
  <w:style w:type="paragraph" w:customStyle="1" w:styleId="349">
    <w:name w:val="CM40"/>
    <w:basedOn w:val="246"/>
    <w:next w:val="246"/>
    <w:uiPriority w:val="0"/>
    <w:pPr>
      <w:spacing w:line="320" w:lineRule="atLeast"/>
    </w:pPr>
    <w:rPr>
      <w:rFonts w:ascii="Times New Roman"/>
      <w:color w:val="auto"/>
    </w:rPr>
  </w:style>
  <w:style w:type="paragraph" w:customStyle="1" w:styleId="350">
    <w:name w:val="表格形式"/>
    <w:basedOn w:val="1"/>
    <w:uiPriority w:val="0"/>
    <w:pPr>
      <w:widowControl/>
      <w:spacing w:before="120" w:line="360" w:lineRule="auto"/>
      <w:ind w:firstLine="425"/>
      <w:jc w:val="center"/>
    </w:pPr>
    <w:rPr>
      <w:kern w:val="0"/>
      <w:sz w:val="24"/>
    </w:rPr>
  </w:style>
  <w:style w:type="paragraph" w:customStyle="1" w:styleId="351">
    <w:name w:val="标准书眉_偶数页"/>
    <w:basedOn w:val="352"/>
    <w:next w:val="1"/>
    <w:uiPriority w:val="0"/>
    <w:pPr>
      <w:tabs>
        <w:tab w:val="center" w:pos="4154"/>
        <w:tab w:val="right" w:pos="8306"/>
      </w:tabs>
      <w:jc w:val="left"/>
    </w:pPr>
  </w:style>
  <w:style w:type="paragraph" w:customStyle="1" w:styleId="352">
    <w:name w:val="标准书眉_奇数页"/>
    <w:next w:val="1"/>
    <w:uiPriority w:val="0"/>
    <w:pPr>
      <w:widowControl w:val="0"/>
      <w:tabs>
        <w:tab w:val="center" w:pos="4154"/>
        <w:tab w:val="right" w:pos="8306"/>
      </w:tabs>
      <w:adjustRightInd w:val="0"/>
      <w:spacing w:after="120" w:line="360" w:lineRule="atLeast"/>
      <w:jc w:val="right"/>
      <w:textAlignment w:val="baseline"/>
    </w:pPr>
    <w:rPr>
      <w:sz w:val="21"/>
      <w:lang w:val="en-US" w:eastAsia="zh-CN" w:bidi="ar-SA"/>
    </w:rPr>
  </w:style>
  <w:style w:type="paragraph" w:customStyle="1" w:styleId="353">
    <w:name w:val="朱公式"/>
    <w:basedOn w:val="152"/>
    <w:uiPriority w:val="0"/>
    <w:pPr>
      <w:tabs>
        <w:tab w:val="center" w:pos="4763"/>
        <w:tab w:val="right" w:pos="9412"/>
      </w:tabs>
    </w:pPr>
    <w:rPr>
      <w:kern w:val="21"/>
    </w:rPr>
  </w:style>
  <w:style w:type="paragraph" w:customStyle="1" w:styleId="354">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355">
    <w:name w:val="样式 段前: 0.1 行2"/>
    <w:basedOn w:val="1"/>
    <w:uiPriority w:val="0"/>
    <w:pPr>
      <w:spacing w:line="276" w:lineRule="auto"/>
    </w:pPr>
  </w:style>
  <w:style w:type="paragraph" w:customStyle="1" w:styleId="356">
    <w:name w:val="列项——"/>
    <w:uiPriority w:val="0"/>
    <w:pPr>
      <w:widowControl w:val="0"/>
      <w:tabs>
        <w:tab w:val="left" w:pos="1080"/>
      </w:tabs>
      <w:spacing w:line="360" w:lineRule="auto"/>
      <w:ind w:left="780" w:hanging="420"/>
      <w:jc w:val="both"/>
    </w:pPr>
    <w:rPr>
      <w:rFonts w:ascii="宋体" w:hAnsi="宋体"/>
      <w:sz w:val="21"/>
      <w:lang w:val="en-US" w:eastAsia="zh-CN" w:bidi="ar-SA"/>
    </w:rPr>
  </w:style>
  <w:style w:type="paragraph" w:customStyle="1" w:styleId="357">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358">
    <w:name w:val="表文"/>
    <w:basedOn w:val="1"/>
    <w:uiPriority w:val="0"/>
    <w:pPr>
      <w:topLinePunct/>
      <w:spacing w:before="40" w:after="40"/>
    </w:pPr>
    <w:rPr>
      <w:sz w:val="18"/>
      <w:szCs w:val="18"/>
    </w:rPr>
  </w:style>
  <w:style w:type="paragraph" w:customStyle="1" w:styleId="359">
    <w:name w:val="插图名称"/>
    <w:basedOn w:val="1"/>
    <w:next w:val="1"/>
    <w:uiPriority w:val="0"/>
    <w:pPr>
      <w:tabs>
        <w:tab w:val="left" w:pos="420"/>
      </w:tabs>
      <w:jc w:val="center"/>
    </w:pPr>
    <w:rPr>
      <w:rFonts w:ascii="黑体" w:eastAsia="黑体"/>
    </w:rPr>
  </w:style>
  <w:style w:type="paragraph" w:customStyle="1" w:styleId="360">
    <w:name w:val="样式 标题 6 + 段前: 0.1 行"/>
    <w:basedOn w:val="9"/>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361">
    <w:name w:val="附录标识"/>
    <w:basedOn w:val="307"/>
    <w:uiPriority w:val="0"/>
    <w:pPr>
      <w:tabs>
        <w:tab w:val="left" w:pos="6405"/>
      </w:tabs>
      <w:spacing w:after="200"/>
    </w:pPr>
    <w:rPr>
      <w:sz w:val="21"/>
    </w:rPr>
  </w:style>
  <w:style w:type="paragraph" w:customStyle="1" w:styleId="362">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363">
    <w:name w:val="数字编号列项（二级）"/>
    <w:uiPriority w:val="0"/>
    <w:pPr>
      <w:widowControl w:val="0"/>
      <w:adjustRightInd w:val="0"/>
      <w:spacing w:line="360" w:lineRule="atLeast"/>
      <w:ind w:left="1260" w:leftChars="400" w:hanging="420" w:hangingChars="200"/>
      <w:jc w:val="both"/>
      <w:textAlignment w:val="baseline"/>
    </w:pPr>
    <w:rPr>
      <w:rFonts w:ascii="宋体"/>
      <w:sz w:val="21"/>
      <w:lang w:val="en-US" w:eastAsia="zh-CN" w:bidi="ar-SA"/>
    </w:rPr>
  </w:style>
  <w:style w:type="paragraph" w:customStyle="1" w:styleId="364">
    <w:name w:val="参考文献、索引标题"/>
    <w:basedOn w:val="307"/>
    <w:next w:val="1"/>
    <w:uiPriority w:val="0"/>
    <w:pPr>
      <w:spacing w:after="200"/>
    </w:pPr>
    <w:rPr>
      <w:sz w:val="21"/>
    </w:rPr>
  </w:style>
  <w:style w:type="paragraph" w:customStyle="1" w:styleId="365">
    <w:name w:val="公司名"/>
    <w:basedOn w:val="366"/>
    <w:uiPriority w:val="0"/>
    <w:pPr>
      <w:spacing w:before="0"/>
    </w:pPr>
  </w:style>
  <w:style w:type="paragraph" w:customStyle="1" w:styleId="366">
    <w:name w:val="_标准名称"/>
    <w:basedOn w:val="1"/>
    <w:next w:val="31"/>
    <w:uiPriority w:val="0"/>
    <w:pPr>
      <w:snapToGrid w:val="0"/>
      <w:spacing w:before="567" w:after="680"/>
      <w:jc w:val="center"/>
    </w:pPr>
    <w:rPr>
      <w:rFonts w:ascii="Arial" w:hAnsi="Arial" w:eastAsia="黑体"/>
      <w:sz w:val="32"/>
    </w:rPr>
  </w:style>
  <w:style w:type="paragraph" w:customStyle="1" w:styleId="367">
    <w:name w:val="标准书眉一"/>
    <w:uiPriority w:val="0"/>
    <w:pPr>
      <w:widowControl w:val="0"/>
      <w:adjustRightInd w:val="0"/>
      <w:spacing w:line="360" w:lineRule="atLeast"/>
      <w:jc w:val="both"/>
      <w:textAlignment w:val="baseline"/>
    </w:pPr>
    <w:rPr>
      <w:lang w:val="en-US" w:eastAsia="zh-CN" w:bidi="ar-SA"/>
    </w:rPr>
  </w:style>
  <w:style w:type="paragraph" w:customStyle="1" w:styleId="368">
    <w:name w:val="样式9"/>
    <w:basedOn w:val="1"/>
    <w:uiPriority w:val="0"/>
    <w:pPr>
      <w:topLinePunct/>
      <w:spacing w:before="560" w:after="560" w:line="560" w:lineRule="exact"/>
      <w:jc w:val="center"/>
    </w:pPr>
    <w:rPr>
      <w:rFonts w:eastAsia="黑体"/>
      <w:sz w:val="32"/>
      <w:lang w:val="zh-CN"/>
    </w:rPr>
  </w:style>
  <w:style w:type="paragraph" w:customStyle="1" w:styleId="369">
    <w:name w:val="样式 标题 2 + 段前: 0.5 行 段后: 0.5 行"/>
    <w:basedOn w:val="5"/>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370">
    <w:name w:val="样式 样式 样式 标题 2 + 段前: 0.1 行 + 段前: 0.1 行 + 段前: 0.1 行 行距: 多倍行距 1.1 ..."/>
    <w:basedOn w:val="208"/>
    <w:uiPriority w:val="0"/>
    <w:pPr>
      <w:tabs>
        <w:tab w:val="left" w:pos="500"/>
        <w:tab w:val="clear" w:pos="210"/>
        <w:tab w:val="clear" w:pos="360"/>
      </w:tabs>
      <w:spacing w:beforeLines="50" w:afterLines="50" w:line="240" w:lineRule="auto"/>
    </w:pPr>
    <w:rPr>
      <w:rFonts w:eastAsia="黑体"/>
      <w:b w:val="0"/>
    </w:rPr>
  </w:style>
  <w:style w:type="paragraph" w:customStyle="1" w:styleId="371">
    <w:name w:val="样式 标题 1 + 段前: 0.7 行 段后: 0.7 行 + 段前: 0.7 行 段后: 0.7 行"/>
    <w:uiPriority w:val="0"/>
    <w:pPr>
      <w:tabs>
        <w:tab w:val="left" w:pos="400"/>
      </w:tabs>
      <w:spacing w:beforeLines="100" w:afterLines="100"/>
    </w:pPr>
    <w:rPr>
      <w:b/>
      <w:kern w:val="21"/>
      <w:sz w:val="21"/>
      <w:lang w:val="en-US" w:eastAsia="zh-CN" w:bidi="ar-SA"/>
    </w:rPr>
  </w:style>
  <w:style w:type="paragraph" w:customStyle="1" w:styleId="372">
    <w:name w:val="封面标准英文名称"/>
    <w:uiPriority w:val="0"/>
    <w:pPr>
      <w:widowControl w:val="0"/>
      <w:adjustRightInd w:val="0"/>
      <w:spacing w:before="370" w:line="400" w:lineRule="exact"/>
      <w:jc w:val="center"/>
      <w:textAlignment w:val="baseline"/>
    </w:pPr>
    <w:rPr>
      <w:sz w:val="28"/>
      <w:lang w:val="en-US" w:eastAsia="zh-CN" w:bidi="ar-SA"/>
    </w:rPr>
  </w:style>
  <w:style w:type="paragraph" w:customStyle="1" w:styleId="373">
    <w:name w:val="样式 样式 标题 2 + 段前: 0.5 行 段后: 0.5 行 + 首行缩进:  2 字符 段前: 0.5 行 段后: 0..."/>
    <w:basedOn w:val="369"/>
    <w:uiPriority w:val="0"/>
  </w:style>
  <w:style w:type="paragraph" w:customStyle="1" w:styleId="374">
    <w:name w:val="偶页脚样式"/>
    <w:basedOn w:val="50"/>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375">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376">
    <w:name w:val="样式 正文（首行缩进两字） Char + 首行缩进:  2 字符 段前: 0.1 行 行距: 多倍行距 1.25 字行"/>
    <w:basedOn w:val="152"/>
    <w:uiPriority w:val="0"/>
    <w:pPr>
      <w:spacing w:afterLines="10"/>
      <w:ind w:firstLine="200"/>
    </w:pPr>
  </w:style>
  <w:style w:type="paragraph" w:customStyle="1" w:styleId="377">
    <w:name w:val="_图表编号"/>
    <w:basedOn w:val="23"/>
    <w:next w:val="167"/>
    <w:uiPriority w:val="0"/>
    <w:pPr>
      <w:snapToGrid w:val="0"/>
      <w:spacing w:beforeLines="15" w:afterLines="15"/>
      <w:jc w:val="center"/>
    </w:pPr>
    <w:rPr>
      <w:sz w:val="21"/>
    </w:rPr>
  </w:style>
  <w:style w:type="paragraph" w:customStyle="1" w:styleId="378">
    <w:name w:val="Normal_1_0"/>
    <w:basedOn w:val="1"/>
    <w:qFormat/>
    <w:uiPriority w:val="0"/>
    <w:rPr>
      <w:rFonts w:eastAsia="Times New Roman"/>
      <w:kern w:val="0"/>
      <w:sz w:val="20"/>
    </w:rPr>
  </w:style>
  <w:style w:type="paragraph" w:customStyle="1" w:styleId="379">
    <w:name w:val="一级无标题条"/>
    <w:basedOn w:val="1"/>
    <w:uiPriority w:val="0"/>
    <w:pPr>
      <w:numPr>
        <w:ilvl w:val="2"/>
        <w:numId w:val="10"/>
      </w:numPr>
      <w:tabs>
        <w:tab w:val="left" w:pos="420"/>
      </w:tabs>
    </w:pPr>
    <w:rPr>
      <w:b/>
    </w:rPr>
  </w:style>
  <w:style w:type="paragraph" w:customStyle="1" w:styleId="380">
    <w:name w:val="封面标准文稿编辑信息"/>
    <w:uiPriority w:val="0"/>
    <w:pPr>
      <w:widowControl w:val="0"/>
      <w:adjustRightInd w:val="0"/>
      <w:spacing w:before="180" w:line="180" w:lineRule="exact"/>
      <w:jc w:val="center"/>
      <w:textAlignment w:val="baseline"/>
    </w:pPr>
    <w:rPr>
      <w:rFonts w:ascii="宋体"/>
      <w:sz w:val="21"/>
      <w:lang w:val="en-US" w:eastAsia="zh-CN" w:bidi="ar-SA"/>
    </w:rPr>
  </w:style>
  <w:style w:type="paragraph" w:customStyle="1" w:styleId="381">
    <w:name w:val="封面标准名称"/>
    <w:uiPriority w:val="0"/>
    <w:pPr>
      <w:widowControl w:val="0"/>
      <w:adjustRightInd w:val="0"/>
      <w:spacing w:line="680" w:lineRule="exact"/>
      <w:jc w:val="center"/>
      <w:textAlignment w:val="center"/>
    </w:pPr>
    <w:rPr>
      <w:rFonts w:ascii="黑体" w:eastAsia="黑体"/>
      <w:sz w:val="52"/>
      <w:lang w:val="en-US" w:eastAsia="zh-CN" w:bidi="ar-SA"/>
    </w:rPr>
  </w:style>
  <w:style w:type="paragraph" w:customStyle="1" w:styleId="382">
    <w:name w:val="Char"/>
    <w:basedOn w:val="1"/>
    <w:uiPriority w:val="0"/>
    <w:rPr>
      <w:szCs w:val="24"/>
    </w:rPr>
  </w:style>
  <w:style w:type="paragraph" w:customStyle="1" w:styleId="383">
    <w:name w:val="术语定义三级条标题"/>
    <w:basedOn w:val="279"/>
    <w:next w:val="144"/>
    <w:uiPriority w:val="0"/>
    <w:pPr>
      <w:tabs>
        <w:tab w:val="left" w:pos="1575"/>
        <w:tab w:val="clear" w:pos="735"/>
      </w:tabs>
      <w:ind w:left="1575"/>
    </w:pPr>
  </w:style>
  <w:style w:type="paragraph" w:customStyle="1" w:styleId="384">
    <w:name w:val="朱表头"/>
    <w:basedOn w:val="162"/>
    <w:uiPriority w:val="0"/>
    <w:pPr>
      <w:spacing w:line="312" w:lineRule="exact"/>
    </w:pPr>
    <w:rPr>
      <w:rFonts w:ascii="EU-F1"/>
      <w:snapToGrid w:val="0"/>
      <w:szCs w:val="20"/>
    </w:rPr>
  </w:style>
  <w:style w:type="paragraph" w:customStyle="1" w:styleId="385">
    <w:name w:val="样式 样式 标题 3H3l3CT小标题中h3sect1.2.33rd level3Head 3level_3PI... + 段前..."/>
    <w:basedOn w:val="327"/>
    <w:uiPriority w:val="0"/>
    <w:pPr>
      <w:numPr>
        <w:ilvl w:val="2"/>
        <w:numId w:val="11"/>
      </w:numPr>
      <w:tabs>
        <w:tab w:val="left" w:pos="1866"/>
        <w:tab w:val="clear" w:pos="1890"/>
        <w:tab w:val="clear" w:pos="280"/>
      </w:tabs>
    </w:pPr>
  </w:style>
  <w:style w:type="paragraph" w:customStyle="1" w:styleId="386">
    <w:name w:val="_列表编号2"/>
    <w:basedOn w:val="21"/>
    <w:uiPriority w:val="0"/>
    <w:pPr>
      <w:tabs>
        <w:tab w:val="left" w:pos="1200"/>
      </w:tabs>
      <w:snapToGrid w:val="0"/>
      <w:spacing w:beforeLines="0" w:line="276" w:lineRule="auto"/>
      <w:ind w:left="1200" w:hanging="400"/>
    </w:pPr>
  </w:style>
  <w:style w:type="paragraph" w:customStyle="1" w:styleId="387">
    <w:name w:val="样式 标题 5 + 段前: 0.15 行 段后: 0.15 行"/>
    <w:basedOn w:val="8"/>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388">
    <w:name w:val="条文说明"/>
    <w:basedOn w:val="389"/>
    <w:uiPriority w:val="0"/>
  </w:style>
  <w:style w:type="paragraph" w:customStyle="1" w:styleId="389">
    <w:name w:val="名称"/>
    <w:basedOn w:val="307"/>
    <w:next w:val="144"/>
    <w:uiPriority w:val="0"/>
    <w:pPr>
      <w:widowControl/>
      <w:adjustRightInd/>
      <w:spacing w:line="460" w:lineRule="exact"/>
      <w:textAlignment w:val="auto"/>
      <w:outlineLvl w:val="9"/>
    </w:pPr>
    <w:rPr>
      <w:b/>
    </w:rPr>
  </w:style>
  <w:style w:type="paragraph" w:customStyle="1" w:styleId="390">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91">
    <w:name w:val=".."/>
    <w:basedOn w:val="246"/>
    <w:next w:val="246"/>
    <w:uiPriority w:val="0"/>
    <w:rPr>
      <w:color w:val="auto"/>
    </w:rPr>
  </w:style>
  <w:style w:type="paragraph" w:customStyle="1" w:styleId="392">
    <w:name w:val="MTDisplayEquation"/>
    <w:basedOn w:val="1"/>
    <w:next w:val="1"/>
    <w:uiPriority w:val="0"/>
    <w:pPr>
      <w:tabs>
        <w:tab w:val="center" w:pos="4160"/>
        <w:tab w:val="right" w:pos="8300"/>
      </w:tabs>
      <w:topLinePunct/>
      <w:adjustRightInd w:val="0"/>
      <w:spacing w:line="312" w:lineRule="auto"/>
    </w:pPr>
  </w:style>
  <w:style w:type="paragraph" w:customStyle="1" w:styleId="393">
    <w:name w:val="_术语说明"/>
    <w:basedOn w:val="357"/>
    <w:uiPriority w:val="0"/>
    <w:pPr>
      <w:spacing w:beforeLines="0" w:line="276" w:lineRule="auto"/>
    </w:pPr>
    <w:rPr>
      <w:color w:val="000000"/>
    </w:rPr>
  </w:style>
  <w:style w:type="paragraph" w:customStyle="1" w:styleId="394">
    <w:name w:val="样式 样式 目录 1toc1 + + 左侧:  1 字符 右侧:  1 字符 段前: 0.15 行 段后: 0.15 行"/>
    <w:basedOn w:val="395"/>
    <w:uiPriority w:val="0"/>
    <w:pPr>
      <w:tabs>
        <w:tab w:val="left" w:pos="420"/>
        <w:tab w:val="right" w:leader="dot" w:pos="9345"/>
      </w:tabs>
    </w:pPr>
  </w:style>
  <w:style w:type="paragraph" w:customStyle="1" w:styleId="395">
    <w:name w:val="样式 目录 1toc1 +"/>
    <w:basedOn w:val="52"/>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396">
    <w:name w:val="标准书脚_偶数页"/>
    <w:uiPriority w:val="0"/>
    <w:pPr>
      <w:widowControl w:val="0"/>
      <w:adjustRightInd w:val="0"/>
      <w:spacing w:before="120" w:line="360" w:lineRule="atLeast"/>
      <w:jc w:val="both"/>
      <w:textAlignment w:val="baseline"/>
    </w:pPr>
    <w:rPr>
      <w:sz w:val="18"/>
      <w:lang w:val="en-US" w:eastAsia="zh-CN" w:bidi="ar-SA"/>
    </w:rPr>
  </w:style>
  <w:style w:type="paragraph" w:customStyle="1" w:styleId="397">
    <w:name w:val="样式1 首行缩进:  0.74 厘米 段前: 0.1 行"/>
    <w:basedOn w:val="152"/>
    <w:next w:val="152"/>
    <w:uiPriority w:val="0"/>
    <w:pPr>
      <w:tabs>
        <w:tab w:val="left" w:pos="820"/>
      </w:tabs>
      <w:spacing w:afterLines="10"/>
      <w:ind w:left="820" w:hanging="420" w:firstLineChars="0"/>
    </w:pPr>
    <w:rPr>
      <w:kern w:val="0"/>
    </w:rPr>
  </w:style>
  <w:style w:type="paragraph" w:customStyle="1" w:styleId="398">
    <w:name w:val="样式 段前: 0.1 行 左  4 字符"/>
    <w:basedOn w:val="1"/>
    <w:uiPriority w:val="0"/>
    <w:pPr>
      <w:spacing w:beforeLines="10" w:line="300" w:lineRule="auto"/>
      <w:ind w:left="400" w:leftChars="400"/>
    </w:pPr>
  </w:style>
  <w:style w:type="paragraph" w:customStyle="1" w:styleId="399">
    <w:name w:val="1"/>
    <w:basedOn w:val="1"/>
    <w:next w:val="1"/>
    <w:uiPriority w:val="0"/>
    <w:pPr>
      <w:topLinePunct/>
      <w:adjustRightInd w:val="0"/>
    </w:pPr>
    <w:rPr>
      <w:rFonts w:ascii="Courier New" w:hAnsi="Courier New"/>
      <w:sz w:val="20"/>
    </w:rPr>
  </w:style>
  <w:style w:type="paragraph" w:customStyle="1" w:styleId="400">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401">
    <w:name w:val="样式 目录 1 + 首行缩进:  0.74 厘米"/>
    <w:basedOn w:val="52"/>
    <w:uiPriority w:val="0"/>
    <w:pPr>
      <w:spacing w:beforeLines="10" w:line="312" w:lineRule="auto"/>
    </w:pPr>
    <w:rPr>
      <w:bCs w:val="0"/>
    </w:rPr>
  </w:style>
  <w:style w:type="paragraph" w:customStyle="1" w:styleId="402">
    <w:name w:val="CM38"/>
    <w:basedOn w:val="246"/>
    <w:next w:val="246"/>
    <w:uiPriority w:val="0"/>
    <w:pPr>
      <w:spacing w:line="320" w:lineRule="atLeast"/>
    </w:pPr>
    <w:rPr>
      <w:rFonts w:ascii="Times New Roman"/>
      <w:color w:val="auto"/>
    </w:rPr>
  </w:style>
  <w:style w:type="paragraph" w:customStyle="1" w:styleId="403">
    <w:name w:val="Char Char Char Char Char2 Char2"/>
    <w:basedOn w:val="1"/>
    <w:uiPriority w:val="0"/>
    <w:pPr>
      <w:topLinePunct/>
      <w:adjustRightInd w:val="0"/>
    </w:pPr>
  </w:style>
  <w:style w:type="paragraph" w:customStyle="1" w:styleId="404">
    <w:name w:val="附录标题3"/>
    <w:basedOn w:val="6"/>
    <w:next w:val="2"/>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405">
    <w:name w:val="样式2 样式 a) + 段前: 0行"/>
    <w:basedOn w:val="203"/>
    <w:uiPriority w:val="0"/>
    <w:pPr>
      <w:tabs>
        <w:tab w:val="clear" w:pos="780"/>
      </w:tabs>
      <w:spacing w:beforeLines="0" w:line="276" w:lineRule="auto"/>
      <w:ind w:left="420" w:leftChars="200" w:firstLine="0" w:firstLineChars="0"/>
    </w:pPr>
  </w:style>
  <w:style w:type="paragraph" w:customStyle="1" w:styleId="406">
    <w:name w:val="正文_1_1"/>
    <w:qFormat/>
    <w:uiPriority w:val="0"/>
    <w:pPr>
      <w:widowControl w:val="0"/>
      <w:jc w:val="both"/>
    </w:pPr>
    <w:rPr>
      <w:kern w:val="2"/>
      <w:sz w:val="21"/>
      <w:szCs w:val="22"/>
      <w:lang w:val="en-US" w:eastAsia="zh-CN" w:bidi="ar-SA"/>
    </w:rPr>
  </w:style>
  <w:style w:type="paragraph" w:customStyle="1" w:styleId="407">
    <w:name w:val="二级无标题条"/>
    <w:basedOn w:val="1"/>
    <w:uiPriority w:val="0"/>
    <w:pPr>
      <w:numPr>
        <w:ilvl w:val="3"/>
        <w:numId w:val="10"/>
      </w:numPr>
    </w:pPr>
    <w:rPr>
      <w:b/>
    </w:rPr>
  </w:style>
  <w:style w:type="paragraph" w:customStyle="1" w:styleId="408">
    <w:name w:val="样式 段前: 0.1 行 首行缩进:  2 字符"/>
    <w:basedOn w:val="1"/>
    <w:uiPriority w:val="0"/>
    <w:pPr>
      <w:spacing w:beforeLines="10" w:line="300" w:lineRule="auto"/>
      <w:ind w:firstLine="200" w:firstLineChars="200"/>
    </w:pPr>
  </w:style>
  <w:style w:type="paragraph" w:customStyle="1" w:styleId="409">
    <w:name w:val="_列项符号1"/>
    <w:basedOn w:val="25"/>
    <w:uiPriority w:val="0"/>
    <w:pPr>
      <w:snapToGrid w:val="0"/>
      <w:spacing w:line="276" w:lineRule="auto"/>
      <w:ind w:left="400" w:leftChars="200" w:hanging="200" w:hangingChars="200"/>
    </w:pPr>
    <w:rPr>
      <w:color w:val="000000"/>
    </w:rPr>
  </w:style>
  <w:style w:type="paragraph" w:customStyle="1" w:styleId="410">
    <w:name w:val="样式 左侧:  0.77 厘米 段前: 0 行 行距: 多倍行距 1.15 字行"/>
    <w:basedOn w:val="1"/>
    <w:uiPriority w:val="0"/>
    <w:pPr>
      <w:spacing w:line="276" w:lineRule="auto"/>
      <w:ind w:left="420"/>
    </w:pPr>
    <w:rPr>
      <w:rFonts w:ascii="宋体"/>
    </w:rPr>
  </w:style>
  <w:style w:type="paragraph" w:styleId="411">
    <w:name w:val="List Paragraph"/>
    <w:basedOn w:val="1"/>
    <w:qFormat/>
    <w:uiPriority w:val="0"/>
    <w:pPr>
      <w:ind w:firstLine="420" w:firstLineChars="200"/>
    </w:pPr>
  </w:style>
  <w:style w:type="paragraph" w:customStyle="1" w:styleId="412">
    <w:name w:val="样式 正文文本 2 + 段前: 0.1 行 + Times New Roman 悬挂缩进: 0.13 字符 段前: 0..."/>
    <w:basedOn w:val="413"/>
    <w:uiPriority w:val="0"/>
    <w:pPr>
      <w:spacing w:beforeLines="0" w:afterLines="10" w:line="240" w:lineRule="auto"/>
      <w:ind w:left="2" w:leftChars="-11" w:hanging="13" w:hangingChars="13"/>
    </w:pPr>
  </w:style>
  <w:style w:type="paragraph" w:customStyle="1" w:styleId="413">
    <w:name w:val="样式 正文文本 2 + 段前: 0.1 行"/>
    <w:basedOn w:val="67"/>
    <w:uiPriority w:val="0"/>
    <w:pPr>
      <w:spacing w:beforeLines="10" w:after="0" w:line="264" w:lineRule="auto"/>
      <w:jc w:val="left"/>
    </w:pPr>
    <w:rPr>
      <w:sz w:val="18"/>
    </w:rPr>
  </w:style>
  <w:style w:type="paragraph" w:customStyle="1" w:styleId="414">
    <w:name w:val="部分标签"/>
    <w:basedOn w:val="301"/>
    <w:next w:val="1"/>
    <w:uiPriority w:val="0"/>
    <w:pPr>
      <w:spacing w:before="400" w:after="440"/>
    </w:pPr>
    <w:rPr>
      <w:rFonts w:ascii="Times New Roman" w:hAnsi="Times New Roman"/>
      <w:spacing w:val="-30"/>
      <w:sz w:val="60"/>
    </w:rPr>
  </w:style>
  <w:style w:type="paragraph" w:customStyle="1" w:styleId="415">
    <w:name w:val="五级无标题条"/>
    <w:basedOn w:val="1"/>
    <w:uiPriority w:val="0"/>
    <w:pPr>
      <w:numPr>
        <w:ilvl w:val="6"/>
        <w:numId w:val="10"/>
      </w:numPr>
    </w:pPr>
    <w:rPr>
      <w:rFonts w:ascii="黑体" w:eastAsia="黑体"/>
      <w:b/>
    </w:rPr>
  </w:style>
  <w:style w:type="paragraph" w:customStyle="1" w:styleId="416">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417">
    <w:name w:val="样式 标题 3 + 段前: 0.1 行"/>
    <w:basedOn w:val="6"/>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18">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419">
    <w:name w:val="图表脚注"/>
    <w:next w:val="144"/>
    <w:uiPriority w:val="0"/>
    <w:pPr>
      <w:widowControl w:val="0"/>
      <w:adjustRightInd w:val="0"/>
      <w:spacing w:line="360" w:lineRule="atLeast"/>
      <w:ind w:left="300" w:leftChars="200" w:hanging="100" w:hangingChars="100"/>
      <w:jc w:val="both"/>
      <w:textAlignment w:val="baseline"/>
    </w:pPr>
    <w:rPr>
      <w:rFonts w:ascii="宋体"/>
      <w:sz w:val="18"/>
      <w:lang w:val="en-US" w:eastAsia="zh-CN" w:bidi="ar-SA"/>
    </w:rPr>
  </w:style>
  <w:style w:type="paragraph" w:customStyle="1" w:styleId="420">
    <w:name w:val="样式 首页脚样式 + 黑色 段前: 3 磅 段后: 3 磅 底端: (单实线 自动设置  0.75 磅 行宽 距正文..."/>
    <w:basedOn w:val="316"/>
    <w:uiPriority w:val="0"/>
    <w:pPr>
      <w:pBdr>
        <w:bottom w:val="single" w:color="auto" w:sz="6" w:space="0"/>
      </w:pBdr>
      <w:snapToGrid w:val="0"/>
      <w:spacing w:before="0"/>
    </w:pPr>
    <w:rPr>
      <w:b w:val="0"/>
      <w:color w:val="000000"/>
      <w:sz w:val="28"/>
    </w:rPr>
  </w:style>
  <w:style w:type="paragraph" w:customStyle="1" w:styleId="421">
    <w:name w:val="目次、索引正文"/>
    <w:uiPriority w:val="0"/>
    <w:pPr>
      <w:widowControl w:val="0"/>
      <w:adjustRightInd w:val="0"/>
      <w:spacing w:line="320" w:lineRule="exact"/>
      <w:jc w:val="both"/>
      <w:textAlignment w:val="baseline"/>
    </w:pPr>
    <w:rPr>
      <w:rFonts w:ascii="宋体"/>
      <w:sz w:val="21"/>
      <w:lang w:val="en-US" w:eastAsia="zh-CN" w:bidi="ar-SA"/>
    </w:rPr>
  </w:style>
  <w:style w:type="paragraph" w:customStyle="1" w:styleId="422">
    <w:name w:val="样式1 正文文本 小五 + Times New Roman 段前: 0 行 行距: 多倍行距 1.15 字行"/>
    <w:basedOn w:val="67"/>
    <w:uiPriority w:val="0"/>
    <w:pPr>
      <w:spacing w:afterLines="20" w:line="276" w:lineRule="auto"/>
      <w:jc w:val="center"/>
    </w:pPr>
    <w:rPr>
      <w:sz w:val="18"/>
    </w:rPr>
  </w:style>
  <w:style w:type="paragraph" w:customStyle="1" w:styleId="423">
    <w:name w:val="正文正式1"/>
    <w:basedOn w:val="1"/>
    <w:uiPriority w:val="0"/>
    <w:pPr>
      <w:tabs>
        <w:tab w:val="left" w:pos="0"/>
      </w:tabs>
      <w:spacing w:line="360" w:lineRule="auto"/>
    </w:pPr>
    <w:rPr>
      <w:rFonts w:ascii="宋体" w:hAnsi="宋体"/>
      <w:kern w:val="0"/>
      <w:sz w:val="24"/>
    </w:rPr>
  </w:style>
  <w:style w:type="paragraph" w:customStyle="1" w:styleId="424">
    <w:name w:val="CM56"/>
    <w:basedOn w:val="246"/>
    <w:next w:val="246"/>
    <w:uiPriority w:val="0"/>
    <w:rPr>
      <w:rFonts w:ascii="Times New Roman"/>
      <w:color w:val="auto"/>
    </w:rPr>
  </w:style>
  <w:style w:type="paragraph" w:customStyle="1" w:styleId="425">
    <w:name w:val="样式 题注Figure Caption + 段前: 0.5 行 段后: 0.5 行"/>
    <w:basedOn w:val="23"/>
    <w:uiPriority w:val="0"/>
    <w:pPr>
      <w:spacing w:beforeLines="50" w:afterLines="50" w:line="330" w:lineRule="exact"/>
      <w:jc w:val="left"/>
    </w:pPr>
    <w:rPr>
      <w:b/>
      <w:sz w:val="21"/>
    </w:rPr>
  </w:style>
  <w:style w:type="paragraph" w:customStyle="1" w:styleId="426">
    <w:name w:val="其他标准称谓"/>
    <w:uiPriority w:val="0"/>
    <w:pPr>
      <w:widowControl w:val="0"/>
      <w:adjustRightInd w:val="0"/>
      <w:spacing w:line="0" w:lineRule="atLeast"/>
      <w:jc w:val="distribute"/>
      <w:textAlignment w:val="baseline"/>
    </w:pPr>
    <w:rPr>
      <w:rFonts w:ascii="黑体" w:hAnsi="宋体" w:eastAsia="黑体"/>
      <w:sz w:val="52"/>
      <w:lang w:val="en-US" w:eastAsia="zh-CN" w:bidi="ar-SA"/>
    </w:rPr>
  </w:style>
  <w:style w:type="paragraph" w:customStyle="1" w:styleId="427">
    <w:name w:val="Char Char Char Char Char Char Char"/>
    <w:basedOn w:val="1"/>
    <w:uiPriority w:val="0"/>
    <w:pPr>
      <w:spacing w:line="360" w:lineRule="auto"/>
      <w:ind w:firstLine="200" w:firstLineChars="200"/>
    </w:pPr>
  </w:style>
  <w:style w:type="paragraph" w:customStyle="1" w:styleId="428">
    <w:name w:val="列项——（一级）"/>
    <w:uiPriority w:val="0"/>
    <w:pPr>
      <w:widowControl w:val="0"/>
      <w:numPr>
        <w:ilvl w:val="0"/>
        <w:numId w:val="12"/>
      </w:numPr>
      <w:tabs>
        <w:tab w:val="left" w:pos="1080"/>
      </w:tabs>
      <w:adjustRightInd w:val="0"/>
      <w:spacing w:line="360" w:lineRule="atLeast"/>
      <w:jc w:val="both"/>
      <w:textAlignment w:val="baseline"/>
    </w:pPr>
    <w:rPr>
      <w:rFonts w:ascii="宋体"/>
      <w:sz w:val="21"/>
      <w:lang w:val="en-US" w:eastAsia="zh-CN" w:bidi="ar-SA"/>
    </w:rPr>
  </w:style>
  <w:style w:type="paragraph" w:customStyle="1" w:styleId="429">
    <w:name w:val="样式 标题 2H2h2h21Heading 2 HiddenHeading 2 CCBSheading 2l2C..."/>
    <w:basedOn w:val="4"/>
    <w:next w:val="330"/>
    <w:uiPriority w:val="0"/>
    <w:pPr>
      <w:keepLines/>
      <w:numPr>
        <w:ilvl w:val="1"/>
        <w:numId w:val="11"/>
      </w:numPr>
      <w:tabs>
        <w:tab w:val="left" w:pos="420"/>
      </w:tabs>
      <w:spacing w:beforeLines="50" w:afterLines="50" w:line="312" w:lineRule="exact"/>
    </w:pPr>
    <w:rPr>
      <w:rFonts w:ascii="宋体" w:hAnsi="宋体" w:eastAsia="黑体"/>
      <w:b/>
      <w:color w:val="auto"/>
      <w:kern w:val="44"/>
      <w:sz w:val="21"/>
    </w:rPr>
  </w:style>
  <w:style w:type="paragraph" w:customStyle="1" w:styleId="430">
    <w:name w:val="样式 样式 标题 6 + 段前: 0.1 行 + Times New Roman"/>
    <w:basedOn w:val="360"/>
    <w:uiPriority w:val="0"/>
    <w:pPr>
      <w:keepLines w:val="0"/>
      <w:spacing w:beforeLines="0" w:line="276" w:lineRule="auto"/>
    </w:pPr>
  </w:style>
  <w:style w:type="paragraph" w:customStyle="1" w:styleId="431">
    <w:name w:val="样式 样式 段前: 0.1 行 首行缩进:  2 字符 + 首行缩进:  2 字符 段前: 0.1 行1"/>
    <w:basedOn w:val="408"/>
    <w:uiPriority w:val="0"/>
    <w:pPr>
      <w:spacing w:beforeLines="0" w:line="276" w:lineRule="auto"/>
      <w:ind w:firstLine="420"/>
    </w:pPr>
  </w:style>
  <w:style w:type="paragraph" w:customStyle="1" w:styleId="432">
    <w:name w:val="样式 样式 段前: 0.1 行 首行缩进:  2 字符 + 首行缩进:  2 字符 段前: 0.1 行"/>
    <w:basedOn w:val="408"/>
    <w:uiPriority w:val="0"/>
    <w:pPr>
      <w:spacing w:line="276" w:lineRule="auto"/>
      <w:ind w:firstLine="420"/>
    </w:pPr>
  </w:style>
  <w:style w:type="paragraph" w:customStyle="1" w:styleId="433">
    <w:name w:val="1.1.1.1"/>
    <w:basedOn w:val="58"/>
    <w:next w:val="1"/>
    <w:uiPriority w:val="0"/>
    <w:pPr>
      <w:tabs>
        <w:tab w:val="left" w:pos="0"/>
      </w:tabs>
      <w:topLinePunct w:val="0"/>
      <w:adjustRightInd/>
      <w:spacing w:line="360" w:lineRule="auto"/>
    </w:pPr>
    <w:rPr>
      <w:rFonts w:ascii="宋体" w:hAnsi="宋体"/>
      <w:kern w:val="0"/>
      <w:sz w:val="24"/>
    </w:rPr>
  </w:style>
  <w:style w:type="paragraph" w:customStyle="1" w:styleId="434">
    <w:name w:val="正文图标题"/>
    <w:next w:val="144"/>
    <w:uiPriority w:val="0"/>
    <w:pPr>
      <w:widowControl w:val="0"/>
      <w:adjustRightInd w:val="0"/>
      <w:spacing w:line="360" w:lineRule="atLeast"/>
      <w:ind w:left="1980"/>
      <w:jc w:val="center"/>
      <w:textAlignment w:val="baseline"/>
    </w:pPr>
    <w:rPr>
      <w:rFonts w:ascii="黑体" w:eastAsia="黑体"/>
      <w:sz w:val="21"/>
      <w:lang w:val="en-US" w:eastAsia="zh-CN" w:bidi="ar-SA"/>
    </w:rPr>
  </w:style>
  <w:style w:type="paragraph" w:customStyle="1" w:styleId="435">
    <w:name w:val="条文脚注"/>
    <w:basedOn w:val="59"/>
    <w:uiPriority w:val="0"/>
    <w:pPr>
      <w:ind w:left="780" w:leftChars="200" w:hanging="360" w:hangingChars="200"/>
      <w:jc w:val="both"/>
    </w:pPr>
    <w:rPr>
      <w:rFonts w:ascii="宋体"/>
    </w:rPr>
  </w:style>
  <w:style w:type="paragraph" w:customStyle="1" w:styleId="436">
    <w:name w:val="术语定义四级条标题"/>
    <w:basedOn w:val="279"/>
    <w:next w:val="144"/>
    <w:uiPriority w:val="0"/>
    <w:pPr>
      <w:tabs>
        <w:tab w:val="left" w:pos="1995"/>
        <w:tab w:val="clear" w:pos="735"/>
      </w:tabs>
      <w:ind w:left="1995"/>
    </w:pPr>
  </w:style>
  <w:style w:type="paragraph" w:customStyle="1" w:styleId="437">
    <w:name w:val="样式 样式1 样式 编号 a + Times New Roman 段前: 0 行 行距: 多倍行距 1.15 字行 + 左侧....."/>
    <w:basedOn w:val="281"/>
    <w:uiPriority w:val="0"/>
    <w:pPr>
      <w:ind w:left="840" w:leftChars="200" w:hanging="420"/>
    </w:pPr>
  </w:style>
  <w:style w:type="paragraph" w:customStyle="1" w:styleId="438">
    <w:name w:val="PARAGRAPH"/>
    <w:uiPriority w:val="0"/>
    <w:pPr>
      <w:tabs>
        <w:tab w:val="center" w:pos="4536"/>
        <w:tab w:val="right" w:pos="9072"/>
      </w:tabs>
      <w:spacing w:before="100" w:after="200"/>
      <w:jc w:val="both"/>
    </w:pPr>
    <w:rPr>
      <w:rFonts w:ascii="Arial" w:hAnsi="Arial"/>
      <w:spacing w:val="8"/>
      <w:lang w:val="en-US" w:eastAsia="en-US" w:bidi="ar-SA"/>
    </w:rPr>
  </w:style>
  <w:style w:type="paragraph" w:customStyle="1" w:styleId="439">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440">
    <w:name w:val="正文表标题续表"/>
    <w:basedOn w:val="344"/>
    <w:next w:val="144"/>
    <w:uiPriority w:val="0"/>
    <w:pPr>
      <w:tabs>
        <w:tab w:val="left" w:pos="420"/>
        <w:tab w:val="left" w:pos="1620"/>
      </w:tabs>
      <w:spacing w:line="360" w:lineRule="auto"/>
      <w:ind w:left="1620" w:leftChars="600" w:hanging="360" w:hangingChars="200"/>
    </w:pPr>
    <w:rPr>
      <w:rFonts w:ascii="宋体" w:hAnsi="宋体" w:eastAsia="宋体"/>
    </w:rPr>
  </w:style>
  <w:style w:type="paragraph" w:styleId="441">
    <w:name w:val=""/>
    <w:basedOn w:val="4"/>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442">
    <w:name w:val="样式 标题 1 + 首行缩进:  2 字符 段前: 1 行 段后: 1 行"/>
    <w:basedOn w:val="4"/>
    <w:uiPriority w:val="0"/>
    <w:pPr>
      <w:keepLines/>
      <w:spacing w:beforeLines="100" w:afterLines="100" w:line="240" w:lineRule="auto"/>
      <w:ind w:firstLine="0"/>
    </w:pPr>
    <w:rPr>
      <w:rFonts w:eastAsia="黑体"/>
      <w:color w:val="auto"/>
      <w:kern w:val="44"/>
      <w:sz w:val="28"/>
    </w:rPr>
  </w:style>
  <w:style w:type="paragraph" w:customStyle="1" w:styleId="443">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b/>
      <w:spacing w:val="20"/>
      <w:w w:val="148"/>
      <w:sz w:val="52"/>
      <w:lang w:val="en-US" w:eastAsia="zh-CN" w:bidi="ar-SA"/>
    </w:rPr>
  </w:style>
  <w:style w:type="paragraph" w:customStyle="1" w:styleId="444">
    <w:name w:val="样式 标题 3 + 黑色 段前: 0.1 行"/>
    <w:basedOn w:val="234"/>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445">
    <w:name w:val="节标题"/>
    <w:basedOn w:val="4"/>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446">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447">
    <w:name w:val="正文_1"/>
    <w:qFormat/>
    <w:uiPriority w:val="0"/>
    <w:pPr>
      <w:widowControl w:val="0"/>
      <w:jc w:val="both"/>
    </w:pPr>
    <w:rPr>
      <w:kern w:val="2"/>
      <w:sz w:val="21"/>
      <w:szCs w:val="22"/>
      <w:lang w:val="en-US" w:eastAsia="zh-CN" w:bidi="ar-SA"/>
    </w:rPr>
  </w:style>
  <w:style w:type="paragraph" w:customStyle="1" w:styleId="448">
    <w:name w:val="样式 标题 4 + 段前: 0.1 行"/>
    <w:basedOn w:val="7"/>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449">
    <w:name w:val="样式 样式2 + 右侧:  1 字符"/>
    <w:basedOn w:val="115"/>
    <w:uiPriority w:val="0"/>
    <w:pPr>
      <w:numPr>
        <w:ilvl w:val="0"/>
        <w:numId w:val="13"/>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50">
    <w:name w:val="Char Char Char Char Char Char"/>
    <w:basedOn w:val="1"/>
    <w:uiPriority w:val="0"/>
  </w:style>
  <w:style w:type="paragraph" w:customStyle="1" w:styleId="451">
    <w:name w:val="样式 样式 正文文本 2 + 段前: 0.1 行 + 悬挂缩进: 0.03 字符"/>
    <w:basedOn w:val="413"/>
    <w:uiPriority w:val="0"/>
    <w:pPr>
      <w:spacing w:beforeLines="0"/>
      <w:ind w:hanging="6"/>
      <w:jc w:val="center"/>
    </w:pPr>
  </w:style>
  <w:style w:type="paragraph" w:customStyle="1" w:styleId="452">
    <w:name w:val="目次"/>
    <w:basedOn w:val="1"/>
    <w:uiPriority w:val="0"/>
    <w:pPr>
      <w:spacing w:line="1200" w:lineRule="auto"/>
      <w:jc w:val="center"/>
    </w:pPr>
    <w:rPr>
      <w:rFonts w:eastAsia="黑体"/>
      <w:kern w:val="21"/>
      <w:sz w:val="32"/>
      <w:szCs w:val="32"/>
    </w:rPr>
  </w:style>
  <w:style w:type="paragraph" w:customStyle="1" w:styleId="453">
    <w:name w:val="示例"/>
    <w:next w:val="144"/>
    <w:uiPriority w:val="0"/>
    <w:pPr>
      <w:widowControl w:val="0"/>
      <w:tabs>
        <w:tab w:val="left" w:pos="816"/>
      </w:tabs>
      <w:adjustRightInd w:val="0"/>
      <w:spacing w:line="360" w:lineRule="atLeast"/>
      <w:ind w:firstLine="419" w:firstLineChars="233"/>
      <w:jc w:val="both"/>
      <w:textAlignment w:val="baseline"/>
    </w:pPr>
    <w:rPr>
      <w:rFonts w:ascii="宋体"/>
      <w:sz w:val="18"/>
      <w:lang w:val="en-US" w:eastAsia="zh-CN" w:bidi="ar-SA"/>
    </w:rPr>
  </w:style>
  <w:style w:type="paragraph" w:customStyle="1" w:styleId="454">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455">
    <w:name w:val="附录图标题"/>
    <w:next w:val="144"/>
    <w:uiPriority w:val="0"/>
    <w:pPr>
      <w:widowControl w:val="0"/>
      <w:tabs>
        <w:tab w:val="left" w:pos="360"/>
      </w:tabs>
      <w:adjustRightInd w:val="0"/>
      <w:spacing w:line="360" w:lineRule="atLeast"/>
      <w:jc w:val="center"/>
      <w:textAlignment w:val="baseline"/>
    </w:pPr>
    <w:rPr>
      <w:rFonts w:ascii="黑体" w:eastAsia="黑体"/>
      <w:sz w:val="21"/>
      <w:lang w:val="en-US" w:eastAsia="zh-CN" w:bidi="ar-SA"/>
    </w:rPr>
  </w:style>
  <w:style w:type="paragraph" w:customStyle="1" w:styleId="456">
    <w:name w:val="连续正文文字"/>
    <w:basedOn w:val="31"/>
    <w:uiPriority w:val="0"/>
    <w:pPr>
      <w:keepNext/>
      <w:widowControl/>
      <w:spacing w:beforeLines="15" w:afterLines="10" w:line="360" w:lineRule="atLeast"/>
      <w:ind w:left="357" w:firstLine="425"/>
      <w:jc w:val="center"/>
    </w:pPr>
    <w:rPr>
      <w:rFonts w:ascii="Arial" w:hAnsi="Arial"/>
      <w:kern w:val="0"/>
      <w:sz w:val="18"/>
    </w:rPr>
  </w:style>
  <w:style w:type="paragraph" w:customStyle="1" w:styleId="457">
    <w:name w:val="样式标题 3 + Arial 段前: 0.1 行"/>
    <w:basedOn w:val="1"/>
    <w:uiPriority w:val="0"/>
    <w:pPr>
      <w:tabs>
        <w:tab w:val="left" w:pos="357"/>
      </w:tabs>
      <w:spacing w:beforeLines="10" w:line="312" w:lineRule="auto"/>
    </w:pPr>
  </w:style>
  <w:style w:type="paragraph" w:customStyle="1" w:styleId="458">
    <w:name w:val="部分副题目"/>
    <w:basedOn w:val="1"/>
    <w:next w:val="31"/>
    <w:uiPriority w:val="0"/>
    <w:pPr>
      <w:keepNext/>
      <w:keepLines/>
      <w:widowControl/>
      <w:spacing w:after="160" w:line="400" w:lineRule="atLeast"/>
      <w:ind w:right="2160"/>
      <w:jc w:val="left"/>
    </w:pPr>
    <w:rPr>
      <w:rFonts w:ascii="Arial" w:hAnsi="Arial"/>
      <w:i/>
      <w:spacing w:val="-14"/>
      <w:kern w:val="28"/>
      <w:sz w:val="34"/>
    </w:rPr>
  </w:style>
  <w:style w:type="paragraph" w:customStyle="1" w:styleId="459">
    <w:name w:val="样式 样式 标题 1 + 段前: 0.7 行 段后: 0.7 行"/>
    <w:basedOn w:val="263"/>
    <w:uiPriority w:val="0"/>
    <w:pPr>
      <w:tabs>
        <w:tab w:val="left" w:pos="340"/>
        <w:tab w:val="clear" w:pos="360"/>
      </w:tabs>
      <w:spacing w:beforeLines="100" w:afterLines="100"/>
    </w:pPr>
  </w:style>
  <w:style w:type="paragraph" w:customStyle="1" w:styleId="460">
    <w:name w:val="基准索引样式"/>
    <w:basedOn w:val="1"/>
    <w:uiPriority w:val="0"/>
    <w:pPr>
      <w:widowControl/>
      <w:spacing w:line="220" w:lineRule="atLeast"/>
      <w:ind w:left="360"/>
      <w:jc w:val="left"/>
    </w:pPr>
    <w:rPr>
      <w:rFonts w:ascii="Arial" w:hAnsi="Arial"/>
      <w:kern w:val="0"/>
    </w:rPr>
  </w:style>
  <w:style w:type="paragraph" w:customStyle="1" w:styleId="461">
    <w:name w:val="奇页页眉样式"/>
    <w:basedOn w:val="51"/>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62">
    <w:name w:val="样式 目录 2 + 段前: 0.15 行 段后: 0.15 行1"/>
    <w:basedOn w:val="65"/>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463">
    <w:name w:val="附录"/>
    <w:basedOn w:val="4"/>
    <w:uiPriority w:val="0"/>
    <w:pPr>
      <w:keepLines/>
      <w:topLinePunct/>
      <w:spacing w:before="0" w:line="960" w:lineRule="auto"/>
      <w:jc w:val="center"/>
      <w:textAlignment w:val="baseline"/>
    </w:pPr>
    <w:rPr>
      <w:rFonts w:eastAsia="黑体"/>
      <w:color w:val="auto"/>
      <w:sz w:val="28"/>
      <w:szCs w:val="28"/>
    </w:rPr>
  </w:style>
  <w:style w:type="paragraph" w:customStyle="1" w:styleId="464">
    <w:name w:val="正文缩进（首行缩进两字）"/>
    <w:uiPriority w:val="0"/>
    <w:pPr>
      <w:spacing w:line="360" w:lineRule="exact"/>
      <w:ind w:firstLine="420" w:firstLineChars="200"/>
    </w:pPr>
    <w:rPr>
      <w:kern w:val="2"/>
      <w:sz w:val="21"/>
      <w:lang w:val="en-US" w:eastAsia="zh-CN" w:bidi="ar-SA"/>
    </w:rPr>
  </w:style>
  <w:style w:type="paragraph" w:customStyle="1" w:styleId="465">
    <w:name w:val="_术语条目"/>
    <w:basedOn w:val="357"/>
    <w:next w:val="393"/>
    <w:uiPriority w:val="0"/>
    <w:pPr>
      <w:spacing w:beforeLines="0" w:line="276" w:lineRule="auto"/>
      <w:jc w:val="left"/>
    </w:pPr>
    <w:rPr>
      <w:rFonts w:eastAsia="黑体"/>
      <w:color w:val="000000"/>
    </w:rPr>
  </w:style>
  <w:style w:type="paragraph" w:customStyle="1" w:styleId="466">
    <w:name w:val="首页页眉样式"/>
    <w:basedOn w:val="51"/>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67">
    <w:name w:val="三级无标题条"/>
    <w:basedOn w:val="1"/>
    <w:uiPriority w:val="0"/>
    <w:pPr>
      <w:numPr>
        <w:ilvl w:val="4"/>
        <w:numId w:val="10"/>
      </w:numPr>
    </w:pPr>
    <w:rPr>
      <w:b/>
    </w:rPr>
  </w:style>
  <w:style w:type="paragraph" w:customStyle="1" w:styleId="468">
    <w:name w:val="样式 段 + Verdana 小四 自定义颜(RGB(171717))"/>
    <w:basedOn w:val="144"/>
    <w:uiPriority w:val="0"/>
    <w:pPr>
      <w:autoSpaceDE/>
      <w:autoSpaceDN/>
      <w:snapToGrid w:val="0"/>
      <w:spacing w:line="300" w:lineRule="auto"/>
    </w:pPr>
    <w:rPr>
      <w:rFonts w:ascii="Verdana" w:hAnsi="Verdana"/>
      <w:color w:val="111111"/>
      <w:sz w:val="24"/>
    </w:rPr>
  </w:style>
  <w:style w:type="paragraph" w:customStyle="1" w:styleId="469">
    <w:name w:val="标准书脚_奇数页"/>
    <w:uiPriority w:val="0"/>
    <w:pPr>
      <w:widowControl w:val="0"/>
      <w:adjustRightInd w:val="0"/>
      <w:spacing w:before="120" w:line="360" w:lineRule="atLeast"/>
      <w:jc w:val="right"/>
      <w:textAlignment w:val="baseline"/>
    </w:pPr>
    <w:rPr>
      <w:sz w:val="18"/>
      <w:lang w:val="en-US" w:eastAsia="zh-CN" w:bidi="ar-SA"/>
    </w:rPr>
  </w:style>
  <w:style w:type="paragraph" w:customStyle="1" w:styleId="470">
    <w:name w:val="偶页页眉样式"/>
    <w:basedOn w:val="51"/>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71">
    <w:name w:val="部分题目"/>
    <w:basedOn w:val="301"/>
    <w:next w:val="458"/>
    <w:uiPriority w:val="0"/>
    <w:pPr>
      <w:spacing w:before="660" w:after="400" w:line="540" w:lineRule="atLeast"/>
      <w:ind w:right="2160"/>
    </w:pPr>
    <w:rPr>
      <w:rFonts w:ascii="Times New Roman" w:hAnsi="Times New Roman"/>
      <w:spacing w:val="-40"/>
      <w:sz w:val="60"/>
    </w:rPr>
  </w:style>
  <w:style w:type="paragraph" w:customStyle="1" w:styleId="472">
    <w:name w:val="样式 3"/>
    <w:basedOn w:val="1"/>
    <w:uiPriority w:val="0"/>
    <w:pPr>
      <w:topLinePunct/>
      <w:adjustRightInd w:val="0"/>
      <w:ind w:left="840" w:hanging="420"/>
    </w:pPr>
    <w:rPr>
      <w:kern w:val="21"/>
      <w:szCs w:val="21"/>
    </w:rPr>
  </w:style>
  <w:style w:type="paragraph" w:customStyle="1" w:styleId="473">
    <w:name w:val="副标题2"/>
    <w:basedOn w:val="1"/>
    <w:uiPriority w:val="0"/>
    <w:pPr>
      <w:spacing w:before="240" w:after="60" w:line="312" w:lineRule="auto"/>
      <w:jc w:val="center"/>
      <w:outlineLvl w:val="1"/>
    </w:pPr>
    <w:rPr>
      <w:rFonts w:ascii="Arial" w:hAnsi="Arial"/>
      <w:b/>
      <w:kern w:val="28"/>
      <w:sz w:val="32"/>
    </w:rPr>
  </w:style>
  <w:style w:type="paragraph" w:customStyle="1" w:styleId="474">
    <w:name w:val="_附录编号标题"/>
    <w:basedOn w:val="1"/>
    <w:next w:val="475"/>
    <w:uiPriority w:val="0"/>
    <w:pPr>
      <w:snapToGrid w:val="0"/>
      <w:spacing w:before="567"/>
      <w:jc w:val="center"/>
    </w:pPr>
    <w:rPr>
      <w:rFonts w:ascii="Arial" w:hAnsi="Arial" w:eastAsia="黑体"/>
      <w:color w:val="000000"/>
    </w:rPr>
  </w:style>
  <w:style w:type="paragraph" w:customStyle="1" w:styleId="475">
    <w:name w:val="附录标题1"/>
    <w:basedOn w:val="4"/>
    <w:next w:val="210"/>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476">
    <w:name w:val="图说"/>
    <w:basedOn w:val="1"/>
    <w:uiPriority w:val="0"/>
    <w:pPr>
      <w:topLinePunct/>
      <w:spacing w:before="60" w:after="160"/>
      <w:jc w:val="center"/>
    </w:pPr>
    <w:rPr>
      <w:sz w:val="18"/>
    </w:rPr>
  </w:style>
  <w:style w:type="paragraph" w:customStyle="1" w:styleId="477">
    <w:name w:val="列项·"/>
    <w:uiPriority w:val="0"/>
    <w:pPr>
      <w:numPr>
        <w:ilvl w:val="0"/>
        <w:numId w:val="14"/>
      </w:numPr>
      <w:tabs>
        <w:tab w:val="left" w:pos="840"/>
      </w:tabs>
      <w:ind w:left="840" w:hanging="420"/>
      <w:jc w:val="both"/>
    </w:pPr>
    <w:rPr>
      <w:rFonts w:ascii="宋体"/>
      <w:sz w:val="21"/>
      <w:lang w:val="en-US" w:eastAsia="zh-CN" w:bidi="ar-SA"/>
    </w:rPr>
  </w:style>
  <w:style w:type="paragraph" w:customStyle="1" w:styleId="478">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479">
    <w:name w:val="发布日期"/>
    <w:uiPriority w:val="0"/>
    <w:pPr>
      <w:widowControl w:val="0"/>
      <w:adjustRightInd w:val="0"/>
      <w:spacing w:line="360" w:lineRule="atLeast"/>
      <w:jc w:val="both"/>
      <w:textAlignment w:val="baseline"/>
    </w:pPr>
    <w:rPr>
      <w:rFonts w:eastAsia="黑体"/>
      <w:sz w:val="28"/>
      <w:lang w:val="en-US" w:eastAsia="zh-CN" w:bidi="ar-SA"/>
    </w:rPr>
  </w:style>
  <w:style w:type="paragraph" w:customStyle="1" w:styleId="480">
    <w:name w:val="文献分类号"/>
    <w:uiPriority w:val="0"/>
    <w:pPr>
      <w:widowControl w:val="0"/>
      <w:adjustRightInd w:val="0"/>
      <w:spacing w:line="360" w:lineRule="atLeast"/>
      <w:jc w:val="both"/>
      <w:textAlignment w:val="center"/>
    </w:pPr>
    <w:rPr>
      <w:rFonts w:eastAsia="黑体"/>
      <w:sz w:val="21"/>
      <w:lang w:val="en-US" w:eastAsia="zh-CN" w:bidi="ar-SA"/>
    </w:rPr>
  </w:style>
  <w:style w:type="paragraph" w:customStyle="1" w:styleId="481">
    <w:name w:val="_列表编号1"/>
    <w:basedOn w:val="21"/>
    <w:uiPriority w:val="0"/>
    <w:pPr>
      <w:tabs>
        <w:tab w:val="left" w:pos="800"/>
      </w:tabs>
      <w:snapToGrid w:val="0"/>
      <w:spacing w:beforeLines="0" w:line="276" w:lineRule="auto"/>
      <w:ind w:left="800" w:hanging="400"/>
    </w:pPr>
  </w:style>
  <w:style w:type="paragraph" w:customStyle="1" w:styleId="482">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483">
    <w:name w:val="样式 样式 样式 首行缩进:  0.77 厘米 段前: 0.1 行 + 首行缩进:  2 字符 段前: 0.1 行 + 首行缩进..."/>
    <w:basedOn w:val="484"/>
    <w:uiPriority w:val="0"/>
    <w:pPr>
      <w:ind w:firstLine="420"/>
    </w:pPr>
  </w:style>
  <w:style w:type="paragraph" w:customStyle="1" w:styleId="484">
    <w:name w:val="样式 样式 首行缩进:  0.77 厘米 段前: 0.1 行 + 首行缩进:  2 字符 段前: 0.1 行"/>
    <w:basedOn w:val="1"/>
    <w:uiPriority w:val="0"/>
    <w:pPr>
      <w:spacing w:line="276" w:lineRule="auto"/>
      <w:ind w:firstLine="200" w:firstLineChars="200"/>
    </w:pPr>
  </w:style>
  <w:style w:type="paragraph" w:customStyle="1" w:styleId="485">
    <w:name w:val="自控1"/>
    <w:basedOn w:val="144"/>
    <w:uiPriority w:val="0"/>
    <w:pPr>
      <w:topLinePunct/>
      <w:autoSpaceDE/>
      <w:autoSpaceDN/>
      <w:spacing w:line="312" w:lineRule="exact"/>
      <w:ind w:left="879" w:hanging="454" w:firstLineChars="0"/>
    </w:pPr>
    <w:rPr>
      <w:rFonts w:ascii="Times New Roman" w:cs="Arial"/>
      <w:kern w:val="21"/>
      <w:szCs w:val="21"/>
    </w:rPr>
  </w:style>
  <w:style w:type="paragraph" w:customStyle="1" w:styleId="486">
    <w:name w:val="奇页脚样式"/>
    <w:basedOn w:val="50"/>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87">
    <w:name w:val="00 正文"/>
    <w:basedOn w:val="36"/>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488">
    <w:name w:val="正文文字样式"/>
    <w:basedOn w:val="1"/>
    <w:uiPriority w:val="0"/>
    <w:pPr>
      <w:spacing w:line="480" w:lineRule="exact"/>
      <w:ind w:firstLine="480" w:firstLineChars="200"/>
    </w:pPr>
    <w:rPr>
      <w:sz w:val="24"/>
    </w:rPr>
  </w:style>
  <w:style w:type="paragraph" w:customStyle="1" w:styleId="489">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490">
    <w:name w:val="朱图说"/>
    <w:basedOn w:val="476"/>
    <w:uiPriority w:val="0"/>
    <w:pPr>
      <w:spacing w:line="312" w:lineRule="exact"/>
    </w:pPr>
    <w:rPr>
      <w:rFonts w:ascii="EU-F1" w:eastAsia="黑体"/>
      <w:sz w:val="21"/>
    </w:rPr>
  </w:style>
  <w:style w:type="paragraph" w:customStyle="1" w:styleId="491">
    <w:name w:val="序号"/>
    <w:basedOn w:val="1"/>
    <w:uiPriority w:val="0"/>
    <w:pPr>
      <w:spacing w:line="300" w:lineRule="auto"/>
    </w:pPr>
    <w:rPr>
      <w:rFonts w:ascii="宋体" w:hAnsi="宋体"/>
      <w:sz w:val="24"/>
    </w:rPr>
  </w:style>
  <w:style w:type="paragraph" w:customStyle="1" w:styleId="492">
    <w:name w:val="图片"/>
    <w:basedOn w:val="1"/>
    <w:uiPriority w:val="0"/>
    <w:pPr>
      <w:topLinePunct/>
      <w:snapToGrid w:val="0"/>
      <w:spacing w:before="160" w:after="60"/>
      <w:jc w:val="center"/>
    </w:pPr>
  </w:style>
  <w:style w:type="paragraph" w:customStyle="1" w:styleId="493">
    <w:name w:val="四级无标题条"/>
    <w:basedOn w:val="1"/>
    <w:uiPriority w:val="0"/>
    <w:pPr>
      <w:numPr>
        <w:ilvl w:val="5"/>
        <w:numId w:val="10"/>
      </w:numPr>
    </w:pPr>
    <w:rPr>
      <w:rFonts w:eastAsia="黑体"/>
      <w:b/>
    </w:rPr>
  </w:style>
  <w:style w:type="paragraph" w:customStyle="1" w:styleId="494">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495">
    <w:name w:val="样式 正文文本 2 + 段前: 0.1 行 + 段后: 1.2 磅 行距: 单倍行距"/>
    <w:basedOn w:val="413"/>
    <w:uiPriority w:val="0"/>
    <w:pPr>
      <w:spacing w:beforeLines="0" w:line="240" w:lineRule="auto"/>
      <w:jc w:val="center"/>
    </w:pPr>
  </w:style>
  <w:style w:type="paragraph" w:customStyle="1" w:styleId="496">
    <w:name w:val="科东_缩排_2"/>
    <w:basedOn w:val="1"/>
    <w:next w:val="1"/>
    <w:uiPriority w:val="0"/>
    <w:pPr>
      <w:tabs>
        <w:tab w:val="left" w:pos="780"/>
        <w:tab w:val="left" w:pos="1320"/>
      </w:tabs>
      <w:spacing w:line="360" w:lineRule="auto"/>
      <w:ind w:left="780" w:leftChars="200" w:hanging="360" w:hangingChars="200"/>
    </w:pPr>
    <w:rPr>
      <w:sz w:val="24"/>
    </w:rPr>
  </w:style>
  <w:style w:type="paragraph" w:customStyle="1" w:styleId="497">
    <w:name w:val="样式 标题 3 + 宋体 段前: 0.1 行"/>
    <w:basedOn w:val="234"/>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498">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499">
    <w:name w:val="其他发布部门"/>
    <w:basedOn w:val="331"/>
    <w:uiPriority w:val="0"/>
    <w:pPr>
      <w:spacing w:line="0" w:lineRule="atLeast"/>
    </w:pPr>
    <w:rPr>
      <w:rFonts w:ascii="黑体" w:eastAsia="黑体"/>
      <w:b w:val="0"/>
    </w:rPr>
  </w:style>
  <w:style w:type="paragraph" w:customStyle="1" w:styleId="500">
    <w:name w:val="无标题条"/>
    <w:next w:val="144"/>
    <w:uiPriority w:val="0"/>
    <w:pPr>
      <w:jc w:val="both"/>
    </w:pPr>
    <w:rPr>
      <w:sz w:val="21"/>
      <w:lang w:val="en-US" w:eastAsia="zh-CN" w:bidi="ar-SA"/>
    </w:rPr>
  </w:style>
  <w:style w:type="paragraph" w:customStyle="1" w:styleId="501">
    <w:name w:val="样式 正文首行缩进 + Times New Roman 五号 首行缩进:  2 字符 段前: 0.1 行 行距: 多倍行..."/>
    <w:basedOn w:val="2"/>
    <w:uiPriority w:val="0"/>
    <w:pPr>
      <w:tabs>
        <w:tab w:val="left" w:pos="360"/>
      </w:tabs>
      <w:spacing w:after="0" w:line="276" w:lineRule="auto"/>
      <w:ind w:firstLine="0" w:firstLineChars="200"/>
    </w:pPr>
  </w:style>
  <w:style w:type="paragraph" w:customStyle="1" w:styleId="502">
    <w:name w:val="_表格条文"/>
    <w:basedOn w:val="1"/>
    <w:uiPriority w:val="0"/>
    <w:pPr>
      <w:spacing w:line="276" w:lineRule="auto"/>
    </w:pPr>
    <w:rPr>
      <w:rFonts w:ascii="Arial" w:hAnsi="Arial"/>
      <w:color w:val="000000"/>
      <w:sz w:val="18"/>
    </w:rPr>
  </w:style>
  <w:style w:type="paragraph" w:customStyle="1" w:styleId="503">
    <w:name w:val="Char1"/>
    <w:basedOn w:val="1"/>
    <w:uiPriority w:val="0"/>
    <w:rPr>
      <w:rFonts w:ascii="Tahoma" w:hAnsi="Tahoma"/>
      <w:sz w:val="24"/>
    </w:rPr>
  </w:style>
  <w:style w:type="paragraph" w:customStyle="1" w:styleId="504">
    <w:name w:val="正文2"/>
    <w:uiPriority w:val="0"/>
    <w:pPr>
      <w:widowControl w:val="0"/>
      <w:adjustRightInd w:val="0"/>
      <w:spacing w:line="312" w:lineRule="atLeast"/>
      <w:jc w:val="both"/>
      <w:textAlignment w:val="baseline"/>
    </w:pPr>
    <w:rPr>
      <w:rFonts w:ascii="宋体"/>
      <w:sz w:val="34"/>
      <w:lang w:val="en-US" w:eastAsia="zh-CN" w:bidi="ar-SA"/>
    </w:rPr>
  </w:style>
  <w:style w:type="paragraph" w:customStyle="1" w:styleId="505">
    <w:name w:val="样式 样式1 样式 编号 a + Times New Roman 段前: 0 行 行距: 多倍行距 1.15 字行 + 左..."/>
    <w:basedOn w:val="437"/>
    <w:uiPriority w:val="0"/>
  </w:style>
  <w:style w:type="paragraph" w:customStyle="1" w:styleId="506">
    <w:name w:val="公式"/>
    <w:basedOn w:val="42"/>
    <w:uiPriority w:val="0"/>
    <w:pPr>
      <w:tabs>
        <w:tab w:val="center" w:pos="4706"/>
        <w:tab w:val="right" w:pos="9412"/>
      </w:tabs>
    </w:pPr>
    <w:rPr>
      <w:rFonts w:ascii="Times New Roman" w:hAnsi="宋体"/>
    </w:rPr>
  </w:style>
  <w:style w:type="paragraph" w:customStyle="1" w:styleId="507">
    <w:name w:val="样式 样式 正文文本 2 + 段前: 0.1 行 + 悬挂缩进: 0.03 字符 段后: 1.2 磅 行距: 单倍行距"/>
    <w:basedOn w:val="413"/>
    <w:uiPriority w:val="0"/>
  </w:style>
  <w:style w:type="paragraph" w:customStyle="1" w:styleId="508">
    <w:name w:val="批注主题 Char Char"/>
    <w:basedOn w:val="27"/>
    <w:next w:val="27"/>
    <w:uiPriority w:val="0"/>
    <w:rPr>
      <w:b/>
      <w:bCs/>
    </w:rPr>
  </w:style>
  <w:style w:type="paragraph" w:customStyle="1" w:styleId="509">
    <w:name w:val="封面正文"/>
    <w:uiPriority w:val="0"/>
    <w:pPr>
      <w:widowControl w:val="0"/>
      <w:adjustRightInd w:val="0"/>
      <w:spacing w:line="360" w:lineRule="atLeast"/>
      <w:jc w:val="both"/>
      <w:textAlignment w:val="baseline"/>
    </w:pPr>
    <w:rPr>
      <w:lang w:val="en-US" w:eastAsia="zh-CN" w:bidi="ar-SA"/>
    </w:rPr>
  </w:style>
  <w:style w:type="paragraph" w:customStyle="1" w:styleId="510">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sz w:val="18"/>
      <w:lang w:val="en-US" w:eastAsia="zh-CN" w:bidi="ar-SA"/>
    </w:rPr>
  </w:style>
  <w:style w:type="paragraph" w:customStyle="1" w:styleId="511">
    <w:name w:val="样式6"/>
    <w:basedOn w:val="1"/>
    <w:uiPriority w:val="0"/>
    <w:pPr>
      <w:topLinePunct/>
      <w:spacing w:before="160" w:after="60"/>
      <w:jc w:val="center"/>
    </w:pPr>
    <w:rPr>
      <w:rFonts w:eastAsia="黑体"/>
      <w:szCs w:val="21"/>
    </w:rPr>
  </w:style>
  <w:style w:type="paragraph" w:customStyle="1" w:styleId="512">
    <w:name w:val="实施日期"/>
    <w:basedOn w:val="479"/>
    <w:uiPriority w:val="0"/>
    <w:pPr>
      <w:jc w:val="right"/>
    </w:pPr>
  </w:style>
  <w:style w:type="paragraph" w:customStyle="1" w:styleId="513">
    <w:name w:val="样式1 标题 2 + 段前: 0行 + 段前: 0.5 行 段后: 0.5 行"/>
    <w:basedOn w:val="208"/>
    <w:uiPriority w:val="0"/>
    <w:pPr>
      <w:tabs>
        <w:tab w:val="left" w:pos="500"/>
        <w:tab w:val="clear" w:pos="210"/>
        <w:tab w:val="clear" w:pos="360"/>
      </w:tabs>
      <w:spacing w:beforeLines="30" w:afterLines="30" w:line="240" w:lineRule="auto"/>
    </w:pPr>
    <w:rPr>
      <w:rFonts w:eastAsia="黑体"/>
      <w:b w:val="0"/>
    </w:rPr>
  </w:style>
  <w:style w:type="paragraph" w:customStyle="1" w:styleId="514">
    <w:name w:val="样式 样式1 样式 编号 a + Times New Roman 段前: 0 行 行距: 多倍行距 1.15 字行 + 左侧.....1"/>
    <w:basedOn w:val="281"/>
    <w:uiPriority w:val="0"/>
    <w:pPr>
      <w:ind w:left="400" w:leftChars="200"/>
    </w:pPr>
  </w:style>
  <w:style w:type="paragraph" w:customStyle="1" w:styleId="515">
    <w:name w:val="样式 样式 正文缩进 + 首行缩进:  0 厘米1 +"/>
    <w:basedOn w:val="1"/>
    <w:uiPriority w:val="0"/>
    <w:pPr>
      <w:spacing w:beforeLines="10"/>
    </w:pPr>
    <w:rPr>
      <w:kern w:val="0"/>
      <w:sz w:val="18"/>
    </w:rPr>
  </w:style>
  <w:style w:type="paragraph" w:customStyle="1" w:styleId="516">
    <w:name w:val="样式 样式 段前: 0.1 行 + 段前: 0.1 行 + 左侧:  2 字符 段前: 0.1 行1"/>
    <w:basedOn w:val="303"/>
    <w:uiPriority w:val="0"/>
    <w:pPr>
      <w:spacing w:line="276" w:lineRule="auto"/>
    </w:pPr>
  </w:style>
  <w:style w:type="paragraph" w:customStyle="1" w:styleId="517">
    <w:name w:val="样式 首行缩进:  0 厘米 行距: 单倍行距"/>
    <w:basedOn w:val="1"/>
    <w:uiPriority w:val="0"/>
    <w:pPr>
      <w:adjustRightInd w:val="0"/>
      <w:textAlignment w:val="baseline"/>
    </w:pPr>
    <w:rPr>
      <w:kern w:val="0"/>
    </w:rPr>
  </w:style>
  <w:style w:type="paragraph" w:customStyle="1" w:styleId="518">
    <w:name w:val="正文_1_0_1"/>
    <w:basedOn w:val="332"/>
    <w:qFormat/>
    <w:uiPriority w:val="0"/>
    <w:rPr>
      <w:szCs w:val="21"/>
    </w:rPr>
  </w:style>
  <w:style w:type="paragraph" w:customStyle="1" w:styleId="519">
    <w:name w:val="正文_1_0_0_0"/>
    <w:qFormat/>
    <w:uiPriority w:val="0"/>
    <w:pPr>
      <w:widowControl w:val="0"/>
      <w:jc w:val="both"/>
    </w:pPr>
    <w:rPr>
      <w:rFonts w:ascii="Calibri" w:hAnsi="Calibri"/>
      <w:kern w:val="2"/>
      <w:sz w:val="21"/>
      <w:szCs w:val="22"/>
      <w:lang w:val="en-US" w:eastAsia="zh-CN" w:bidi="ar-SA"/>
    </w:rPr>
  </w:style>
  <w:style w:type="paragraph" w:customStyle="1" w:styleId="520">
    <w:name w:val="正文_12"/>
    <w:qFormat/>
    <w:uiPriority w:val="0"/>
    <w:pPr>
      <w:widowControl w:val="0"/>
      <w:jc w:val="both"/>
    </w:pPr>
    <w:rPr>
      <w:rFonts w:ascii="Calibri" w:hAnsi="Calibr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2952</Words>
  <Characters>16833</Characters>
  <Lines>140</Lines>
  <Paragraphs>39</Paragraphs>
  <TotalTime>0</TotalTime>
  <ScaleCrop>false</ScaleCrop>
  <LinksUpToDate>false</LinksUpToDate>
  <CharactersWithSpaces>19746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2021-12-28T08:36:00Z</dcterms:created>
  <dc:creator>朱顺平</dc:creator>
  <cp:lastModifiedBy>何以为之而后快</cp:lastModifiedBy>
  <dcterms:modified xsi:type="dcterms:W3CDTF">2021-12-28T09:11:26Z</dcterms:modified>
  <dc:title>宜兴水务集团有限公司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833E7EDD43C24E019F4AED358AFFC629</vt:lpwstr>
  </property>
</Properties>
</file>