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100吨地磅采购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:YXGYJT202108010</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二一年八月三十一日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100吨地磅</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70"/>
            </w:pPr>
            <w:bookmarkStart w:id="2" w:name="OLE_LINK192"/>
            <w:r>
              <w:rPr>
                <w:rFonts w:hint="eastAsia"/>
              </w:rPr>
              <w:t>采购人：宜兴市公用建环资源循环利用有限公司</w:t>
            </w:r>
          </w:p>
          <w:p>
            <w:pPr>
              <w:pStyle w:val="270"/>
            </w:pPr>
            <w:r>
              <w:rPr>
                <w:rFonts w:hint="eastAsia"/>
              </w:rPr>
              <w:t>项目名称：100吨地磅采购</w:t>
            </w:r>
          </w:p>
          <w:p>
            <w:pPr>
              <w:pStyle w:val="270"/>
            </w:pPr>
            <w:r>
              <w:rPr>
                <w:rFonts w:hint="eastAsia"/>
              </w:rPr>
              <w:t>项目编号</w:t>
            </w:r>
            <w:r>
              <w:t>:YXGYJT202108010</w:t>
            </w:r>
          </w:p>
          <w:p>
            <w:pPr>
              <w:pStyle w:val="270"/>
            </w:pPr>
            <w:r>
              <w:rPr>
                <w:rFonts w:hint="eastAsia"/>
              </w:rPr>
              <w:t>评标方法：最低价评标法</w:t>
            </w:r>
          </w:p>
          <w:p>
            <w:pPr>
              <w:pStyle w:val="270"/>
            </w:pPr>
            <w:r>
              <w:rPr>
                <w:rFonts w:hint="eastAsia"/>
              </w:rPr>
              <w:t>本项目最高限价为：</w:t>
            </w:r>
            <w:bookmarkEnd w:id="2"/>
            <w:r>
              <w:rPr>
                <w:rFonts w:hint="eastAsia"/>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70"/>
            </w:pPr>
            <w:r>
              <w:rPr>
                <w:rFonts w:hint="eastAsia"/>
              </w:rPr>
              <w:t>2.1投标人参加本次投标活动应具备下列资格条件：</w:t>
            </w:r>
          </w:p>
          <w:p>
            <w:pPr>
              <w:pStyle w:val="270"/>
            </w:pPr>
            <w:r>
              <w:rPr>
                <w:rFonts w:hint="eastAsia"/>
              </w:rPr>
              <w:t>①具有独立承担民事责任的能力；</w:t>
            </w:r>
          </w:p>
          <w:p>
            <w:pPr>
              <w:pStyle w:val="270"/>
            </w:pPr>
            <w:r>
              <w:rPr>
                <w:rFonts w:hint="eastAsia"/>
              </w:rPr>
              <w:t>②有依法缴纳税收和社会保障资金的良好记录；</w:t>
            </w:r>
          </w:p>
          <w:p>
            <w:pPr>
              <w:pStyle w:val="270"/>
            </w:pPr>
            <w:r>
              <w:rPr>
                <w:rFonts w:hint="eastAsia"/>
              </w:rPr>
              <w:t>③具有履行合同所必需的设备和专业技术能力；</w:t>
            </w:r>
          </w:p>
          <w:p>
            <w:pPr>
              <w:pStyle w:val="270"/>
            </w:pPr>
            <w:r>
              <w:rPr>
                <w:rFonts w:hint="eastAsia"/>
              </w:rPr>
              <w:t>④不接受联合体，不接受成交后分包；</w:t>
            </w:r>
          </w:p>
          <w:p>
            <w:pPr>
              <w:pStyle w:val="270"/>
              <w:rPr>
                <w:rFonts w:hint="eastAsia"/>
              </w:rPr>
            </w:pPr>
            <w:r>
              <w:rPr>
                <w:rFonts w:hint="eastAsia"/>
              </w:rPr>
              <w:t>⑤无不良信用记录；</w:t>
            </w:r>
          </w:p>
          <w:p>
            <w:pPr>
              <w:pStyle w:val="270"/>
              <w:rPr>
                <w:rFonts w:hint="eastAsia"/>
                <w:lang w:val="zh-CN"/>
              </w:rPr>
            </w:pPr>
            <w:r>
              <w:rPr>
                <w:rFonts w:hint="eastAsia" w:hAnsi="宋体"/>
                <w:bCs/>
                <w:color w:val="000000"/>
                <w:szCs w:val="24"/>
              </w:rPr>
              <w:t>⑥</w:t>
            </w:r>
            <w:r>
              <w:rPr>
                <w:rFonts w:hint="eastAsia"/>
                <w:lang w:val="zh-CN"/>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jc w:val="left"/>
              <w:rPr>
                <w:rFonts w:hint="eastAsia" w:ascii="宋体" w:hAnsi="宋体"/>
                <w:bCs/>
                <w:color w:val="000000"/>
                <w:sz w:val="24"/>
                <w:szCs w:val="24"/>
              </w:rPr>
            </w:pPr>
            <w:r>
              <w:rPr>
                <w:rFonts w:hint="eastAsia" w:ascii="宋体" w:hAnsi="宋体"/>
                <w:bCs/>
                <w:color w:val="000000"/>
                <w:sz w:val="24"/>
                <w:szCs w:val="24"/>
              </w:rPr>
              <w:t>⑦供应商须通过ISO9000系列质量管理体系，ISO14000系列环境管理体系认证，GB/T28001-2011系列职业健康安全管理体系认证，提供扫描件；</w:t>
            </w:r>
          </w:p>
          <w:p>
            <w:pPr>
              <w:pStyle w:val="270"/>
              <w:rPr>
                <w:rFonts w:hint="eastAsia" w:hAnsi="宋体"/>
                <w:bCs/>
                <w:color w:val="000000"/>
                <w:szCs w:val="24"/>
              </w:rPr>
            </w:pPr>
            <w:r>
              <w:rPr>
                <w:rFonts w:hint="eastAsia" w:hAnsi="宋体"/>
                <w:bCs/>
                <w:color w:val="000000"/>
                <w:szCs w:val="24"/>
              </w:rPr>
              <w:t>⑧须提供汽车衡生产许可证、汽车衡传感器生产许可证、汽车衡仪表生产许可证；</w:t>
            </w:r>
            <w:r>
              <w:rPr>
                <w:rFonts w:hAnsi="宋体" w:cs="宋体"/>
                <w:szCs w:val="24"/>
              </w:rPr>
              <w:t>如为代理商，需提供</w:t>
            </w:r>
            <w:r>
              <w:rPr>
                <w:rFonts w:hint="eastAsia" w:hAnsi="宋体" w:cs="宋体"/>
                <w:szCs w:val="24"/>
              </w:rPr>
              <w:t>响应文件的</w:t>
            </w:r>
            <w:r>
              <w:rPr>
                <w:rFonts w:hAnsi="宋体" w:cs="宋体"/>
                <w:szCs w:val="24"/>
              </w:rPr>
              <w:t>响应品牌的生产许可证</w:t>
            </w:r>
            <w:r>
              <w:rPr>
                <w:rFonts w:hint="eastAsia" w:hAnsi="宋体" w:cs="宋体"/>
                <w:szCs w:val="24"/>
              </w:rPr>
              <w:t>，</w:t>
            </w:r>
            <w:r>
              <w:rPr>
                <w:rFonts w:hint="eastAsia" w:hAnsi="宋体"/>
                <w:bCs/>
                <w:color w:val="000000"/>
                <w:szCs w:val="24"/>
              </w:rPr>
              <w:t>提供扫描件。</w:t>
            </w:r>
          </w:p>
          <w:p>
            <w:r>
              <w:rPr>
                <w:rFonts w:hint="eastAsia" w:ascii="黑体" w:hAnsi="黑体" w:eastAsia="黑体"/>
                <w:b/>
                <w:sz w:val="28"/>
                <w:szCs w:val="28"/>
                <w:highlight w:val="yellow"/>
              </w:rPr>
              <w:t>注：因受疫情影响本次采用不见面开标，</w:t>
            </w:r>
            <w:r>
              <w:rPr>
                <w:rFonts w:hint="eastAsia" w:ascii="黑体" w:hAnsi="黑体" w:eastAsia="黑体" w:cs="楷体"/>
                <w:b/>
                <w:sz w:val="28"/>
                <w:szCs w:val="28"/>
                <w:highlight w:val="yellow"/>
              </w:rPr>
              <w:t>本标书中所有需提供原件\公证件的条款，待中标后由中标厂家提供给招标人核实，如发现虚假情况等，将对供方处以扣除履约保证金的违约处罚，并报相关网站公示。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270"/>
              <w:spacing w:line="276" w:lineRule="auto"/>
              <w:rPr>
                <w:lang w:val="zh-CN"/>
              </w:rPr>
            </w:pPr>
            <w:r>
              <w:rPr>
                <w:rFonts w:hint="eastAsia"/>
                <w:lang w:val="zh-CN"/>
              </w:rPr>
              <w:t>2.2参照（或相当于）下列品牌：</w:t>
            </w:r>
          </w:p>
          <w:p>
            <w:pPr>
              <w:jc w:val="left"/>
              <w:rPr>
                <w:rFonts w:hint="eastAsia" w:ascii="宋体" w:hAnsi="宋体"/>
                <w:bCs/>
                <w:color w:val="000000"/>
                <w:sz w:val="24"/>
                <w:szCs w:val="24"/>
              </w:rPr>
            </w:pPr>
            <w:r>
              <w:rPr>
                <w:rFonts w:hint="eastAsia" w:ascii="宋体" w:hAnsi="宋体"/>
                <w:bCs/>
                <w:color w:val="000000"/>
                <w:sz w:val="24"/>
                <w:szCs w:val="24"/>
              </w:rPr>
              <w:t>台面钢材生产厂家：上海宝钢、马鞍山钢铁、舞阳钢铁（</w:t>
            </w:r>
            <w:r>
              <w:rPr>
                <w:rFonts w:hint="eastAsia" w:ascii="宋体" w:hAnsi="宋体" w:cs="宋体"/>
                <w:b/>
                <w:sz w:val="24"/>
                <w:szCs w:val="22"/>
              </w:rPr>
              <w:t>提供秤体钢材原产地证明</w:t>
            </w:r>
            <w:r>
              <w:rPr>
                <w:rFonts w:hint="eastAsia" w:ascii="宋体" w:hAnsi="宋体"/>
                <w:color w:val="000000"/>
                <w:sz w:val="24"/>
                <w:szCs w:val="24"/>
              </w:rPr>
              <w:t>，</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r>
              <w:rPr>
                <w:rFonts w:hint="eastAsia" w:ascii="宋体" w:hAnsi="宋体"/>
                <w:bCs/>
                <w:color w:val="000000"/>
                <w:sz w:val="24"/>
                <w:szCs w:val="24"/>
              </w:rPr>
              <w:t>）</w:t>
            </w:r>
          </w:p>
          <w:p>
            <w:pPr>
              <w:jc w:val="left"/>
              <w:rPr>
                <w:rFonts w:hint="eastAsia" w:ascii="宋体" w:hAnsi="宋体"/>
                <w:bCs/>
                <w:color w:val="000000"/>
                <w:sz w:val="24"/>
                <w:szCs w:val="24"/>
              </w:rPr>
            </w:pPr>
            <w:r>
              <w:rPr>
                <w:rFonts w:hint="eastAsia" w:ascii="宋体" w:hAnsi="宋体"/>
                <w:bCs/>
                <w:color w:val="000000"/>
                <w:sz w:val="24"/>
                <w:szCs w:val="24"/>
              </w:rPr>
              <w:t>电脑配置：联想，惠普，戴尔（处理器不低于I5，内存不低于8G）</w:t>
            </w:r>
          </w:p>
          <w:p>
            <w:pPr>
              <w:jc w:val="left"/>
              <w:rPr>
                <w:rFonts w:hint="eastAsia" w:ascii="宋体" w:hAnsi="宋体"/>
                <w:bCs/>
                <w:color w:val="000000"/>
                <w:sz w:val="24"/>
                <w:szCs w:val="24"/>
              </w:rPr>
            </w:pPr>
            <w:bookmarkStart w:id="4" w:name="_Hlk80173068"/>
            <w:r>
              <w:rPr>
                <w:rFonts w:hint="eastAsia" w:ascii="宋体" w:hAnsi="宋体"/>
                <w:bCs/>
                <w:color w:val="000000"/>
                <w:sz w:val="24"/>
                <w:szCs w:val="24"/>
              </w:rPr>
              <w:t>针式打印机：得实，惠普，爱普生</w:t>
            </w:r>
          </w:p>
          <w:bookmarkEnd w:id="4"/>
          <w:p>
            <w:pPr>
              <w:pStyle w:val="270"/>
              <w:rPr>
                <w:rFonts w:hint="eastAsia" w:hAnsi="宋体"/>
                <w:bCs/>
                <w:color w:val="000000"/>
                <w:szCs w:val="24"/>
              </w:rPr>
            </w:pPr>
            <w:r>
              <w:rPr>
                <w:rFonts w:hint="eastAsia" w:hAnsi="宋体"/>
                <w:bCs/>
                <w:color w:val="000000"/>
                <w:szCs w:val="24"/>
              </w:rPr>
              <w:t>传感器: 申克，富林泰克，梅特勒-托利多，HBM</w:t>
            </w:r>
          </w:p>
          <w:p>
            <w:pPr>
              <w:pStyle w:val="270"/>
              <w:rPr>
                <w:rFonts w:hint="eastAsia"/>
              </w:rPr>
            </w:pPr>
            <w:r>
              <w:rPr>
                <w:rFonts w:hAnsi="宋体" w:cs="宋体"/>
                <w:szCs w:val="24"/>
                <w:lang w:bidi="ar"/>
              </w:rPr>
              <w:t>注：除以上明确的品牌外，欢迎其他在品牌知名度、信誉度、质量、性能、技术指标等方面不低于上述品牌的产品参加，但必须在</w:t>
            </w:r>
            <w:r>
              <w:rPr>
                <w:rFonts w:hint="eastAsia" w:hAnsi="宋体" w:cs="宋体"/>
                <w:szCs w:val="24"/>
                <w:lang w:bidi="ar"/>
              </w:rPr>
              <w:t>开标前2天</w:t>
            </w:r>
            <w:r>
              <w:rPr>
                <w:rFonts w:hAnsi="宋体" w:cs="宋体"/>
                <w:szCs w:val="24"/>
                <w:lang w:bidi="ar"/>
              </w:rPr>
              <w:t>，以书面形式（加盖公章）向</w:t>
            </w:r>
            <w:r>
              <w:rPr>
                <w:rFonts w:hint="eastAsia" w:hAnsi="宋体" w:cs="宋体"/>
                <w:szCs w:val="24"/>
                <w:lang w:bidi="ar"/>
              </w:rPr>
              <w:t>采购人</w:t>
            </w:r>
            <w:r>
              <w:rPr>
                <w:rFonts w:hAnsi="宋体" w:cs="宋体"/>
                <w:szCs w:val="24"/>
                <w:lang w:bidi="ar"/>
              </w:rPr>
              <w:t>提出，并附产品详细技术参数，并证明所投品牌的技术需求和性能与参照品牌同档次或高于参照品牌档次，征得</w:t>
            </w:r>
            <w:r>
              <w:rPr>
                <w:rFonts w:hint="eastAsia" w:hAnsi="宋体" w:cs="宋体"/>
                <w:szCs w:val="24"/>
                <w:lang w:bidi="ar"/>
              </w:rPr>
              <w:t>采购人</w:t>
            </w:r>
            <w:r>
              <w:rPr>
                <w:rFonts w:hAnsi="宋体" w:cs="宋体"/>
                <w:szCs w:val="24"/>
                <w:lang w:bidi="ar"/>
              </w:rPr>
              <w:t>的认可并在答疑中公布后才可参加本次</w:t>
            </w:r>
            <w:r>
              <w:rPr>
                <w:rFonts w:hint="eastAsia" w:hAnsi="宋体" w:cs="宋体"/>
                <w:szCs w:val="24"/>
                <w:lang w:bidi="ar"/>
              </w:rPr>
              <w:t>采购</w:t>
            </w:r>
            <w:r>
              <w:rPr>
                <w:rFonts w:hAnsi="宋体" w:cs="宋体"/>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70"/>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bCs/>
                <w:sz w:val="24"/>
                <w:szCs w:val="21"/>
              </w:rPr>
            </w:pPr>
            <w:r>
              <w:rPr>
                <w:rFonts w:hint="eastAsia" w:ascii="宋体" w:hAnsi="宋体"/>
                <w:bCs/>
                <w:sz w:val="24"/>
                <w:szCs w:val="24"/>
              </w:rPr>
              <w:t>集中考察或答疑：</w:t>
            </w:r>
            <w:r>
              <w:rPr>
                <w:rFonts w:ascii="宋体" w:hAnsi="宋体"/>
                <w:bCs/>
                <w:sz w:val="24"/>
                <w:szCs w:val="24"/>
              </w:rPr>
              <w:t>为确保本次采购项目顺利实施，</w:t>
            </w:r>
            <w:r>
              <w:rPr>
                <w:rFonts w:hint="eastAsia" w:ascii="宋体" w:hAnsi="宋体"/>
                <w:bCs/>
                <w:sz w:val="24"/>
                <w:szCs w:val="24"/>
              </w:rPr>
              <w:t>供应商提交响应文件</w:t>
            </w:r>
            <w:r>
              <w:rPr>
                <w:rFonts w:ascii="宋体" w:hAnsi="宋体"/>
                <w:bCs/>
                <w:sz w:val="24"/>
                <w:szCs w:val="24"/>
              </w:rPr>
              <w:t>前</w:t>
            </w:r>
            <w:r>
              <w:rPr>
                <w:rFonts w:hint="eastAsia" w:ascii="宋体" w:hAnsi="宋体"/>
                <w:bCs/>
                <w:sz w:val="24"/>
                <w:szCs w:val="24"/>
              </w:rPr>
              <w:t>应</w:t>
            </w:r>
            <w:r>
              <w:rPr>
                <w:rFonts w:ascii="宋体" w:hAnsi="宋体"/>
                <w:bCs/>
                <w:sz w:val="24"/>
                <w:szCs w:val="24"/>
              </w:rPr>
              <w:t>详细勘察现场并根据现场勘察结果进行报价，</w:t>
            </w:r>
            <w:r>
              <w:rPr>
                <w:rFonts w:hint="eastAsia" w:ascii="宋体" w:hAnsi="宋体"/>
                <w:bCs/>
                <w:sz w:val="24"/>
                <w:szCs w:val="24"/>
              </w:rPr>
              <w:t>供应商</w:t>
            </w:r>
            <w:r>
              <w:rPr>
                <w:rFonts w:ascii="宋体" w:hAnsi="宋体"/>
                <w:bCs/>
                <w:sz w:val="24"/>
                <w:szCs w:val="24"/>
              </w:rPr>
              <w:t>必须对自己现场勘察结果及报价负责，</w:t>
            </w:r>
            <w:r>
              <w:rPr>
                <w:rFonts w:hint="eastAsia" w:ascii="宋体" w:hAnsi="宋体"/>
                <w:bCs/>
                <w:sz w:val="24"/>
                <w:szCs w:val="24"/>
              </w:rPr>
              <w:t>本次采购包含土建等内容，请供应商将相关成本纳入报价，成交后基坑位置需由采购人指定，提交响应文件前供应商可联系采购</w:t>
            </w:r>
            <w:r>
              <w:rPr>
                <w:rFonts w:hint="eastAsia" w:ascii="宋体" w:hAnsi="宋体"/>
                <w:color w:val="000000"/>
                <w:sz w:val="24"/>
                <w:szCs w:val="24"/>
              </w:rPr>
              <w:t>人安排现场踏勘了解安装地点，完全响应采购人安装地点要求，并已将土建等费用核算在报价内的承诺书。供应商在响应文件中需提供土建专业清单及图纸。考虑到现有地磅与本次招标地磅的使用用途，供应商在中标后需要将现有地磅与本次招标地磅联网，统一无人值守系统，现有地磅与本次招标地磅之间的距离及管线排布由投标人现场勘查，施工费用包含在投标总价内。</w:t>
            </w:r>
            <w:r>
              <w:rPr>
                <w:bCs/>
                <w:sz w:val="24"/>
                <w:szCs w:val="21"/>
              </w:rPr>
              <w:t>请</w:t>
            </w:r>
            <w:r>
              <w:rPr>
                <w:rFonts w:hint="eastAsia"/>
                <w:bCs/>
                <w:sz w:val="24"/>
                <w:szCs w:val="21"/>
              </w:rPr>
              <w:t>供应商</w:t>
            </w:r>
            <w:r>
              <w:rPr>
                <w:bCs/>
                <w:sz w:val="24"/>
                <w:szCs w:val="21"/>
              </w:rPr>
              <w:t>务必慎重报价。</w:t>
            </w:r>
          </w:p>
          <w:p>
            <w:pPr>
              <w:autoSpaceDE w:val="0"/>
              <w:autoSpaceDN w:val="0"/>
              <w:adjustRightInd w:val="0"/>
              <w:spacing w:line="320" w:lineRule="exact"/>
              <w:rPr>
                <w:rFonts w:ascii="宋体" w:hAnsi="宋体"/>
                <w:bCs/>
                <w:sz w:val="24"/>
                <w:szCs w:val="24"/>
              </w:rPr>
            </w:pPr>
            <w:r>
              <w:rPr>
                <w:rFonts w:ascii="宋体" w:hAnsi="宋体"/>
                <w:bCs/>
                <w:sz w:val="24"/>
                <w:szCs w:val="24"/>
              </w:rPr>
              <w:t>（联系人：</w:t>
            </w:r>
            <w:r>
              <w:rPr>
                <w:rFonts w:hint="eastAsia" w:ascii="宋体" w:hAnsi="宋体"/>
                <w:bCs/>
                <w:sz w:val="24"/>
                <w:szCs w:val="24"/>
              </w:rPr>
              <w:t>刘女士</w:t>
            </w:r>
            <w:r>
              <w:rPr>
                <w:rFonts w:ascii="宋体" w:hAnsi="宋体"/>
                <w:bCs/>
                <w:sz w:val="24"/>
                <w:szCs w:val="24"/>
              </w:rPr>
              <w:t>，联系电话：18101531737）</w:t>
            </w:r>
          </w:p>
          <w:p>
            <w:pPr>
              <w:autoSpaceDE w:val="0"/>
              <w:autoSpaceDN w:val="0"/>
              <w:adjustRightInd w:val="0"/>
              <w:spacing w:line="320" w:lineRule="exact"/>
              <w:rPr>
                <w:rFonts w:ascii="宋体" w:hAnsi="宋体"/>
                <w:color w:val="000000"/>
                <w:sz w:val="24"/>
                <w:szCs w:val="24"/>
              </w:rPr>
            </w:pPr>
            <w:r>
              <w:rPr>
                <w:rFonts w:ascii="宋体" w:hAnsi="宋体"/>
                <w:bCs/>
                <w:sz w:val="24"/>
                <w:szCs w:val="24"/>
              </w:rPr>
              <w:t>注：</w:t>
            </w:r>
            <w:r>
              <w:rPr>
                <w:rFonts w:hint="eastAsia" w:ascii="宋体" w:hAnsi="宋体"/>
                <w:bCs/>
                <w:sz w:val="24"/>
                <w:szCs w:val="24"/>
              </w:rPr>
              <w:t>参与投标的供应商现场勘察后应在标书中出具安装示意图和现场效果图</w:t>
            </w:r>
            <w:r>
              <w:rPr>
                <w:rFonts w:ascii="宋体" w:hAnsi="宋体"/>
                <w:bCs/>
                <w:sz w:val="24"/>
                <w:szCs w:val="24"/>
              </w:rPr>
              <w:t>，</w:t>
            </w:r>
            <w:r>
              <w:rPr>
                <w:rFonts w:hint="eastAsia" w:ascii="宋体" w:hAnsi="宋体"/>
                <w:bCs/>
                <w:sz w:val="24"/>
                <w:szCs w:val="24"/>
              </w:rPr>
              <w:t>成交</w:t>
            </w:r>
            <w:r>
              <w:rPr>
                <w:rFonts w:ascii="宋体" w:hAnsi="宋体"/>
                <w:bCs/>
                <w:sz w:val="24"/>
                <w:szCs w:val="24"/>
              </w:rPr>
              <w:t>后不得以不了解或不完全了解项目情况为理由而提出额外费用等要求，对此类要求，采购人将不作任何答复与考虑。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2021年9月7日9：40</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jc w:val="left"/>
              <w:rPr>
                <w:rFonts w:ascii="宋体" w:hAnsi="宋体"/>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270"/>
              <w:rPr>
                <w:rFonts w:hAnsi="宋体"/>
                <w:bCs/>
                <w:kern w:val="2"/>
              </w:rPr>
            </w:pPr>
            <w:r>
              <w:rPr>
                <w:rFonts w:hint="eastAsia" w:hAnsi="宋体"/>
                <w:b/>
                <w:bCs/>
                <w:szCs w:val="21"/>
              </w:rPr>
              <w:t>投标保证金：</w:t>
            </w:r>
            <w:bookmarkStart w:id="5" w:name="OLE_LINK49"/>
            <w:bookmarkStart w:id="6" w:name="OLE_LINK138"/>
            <w:r>
              <w:rPr>
                <w:rFonts w:hint="eastAsia"/>
              </w:rPr>
              <w:t>采购人根据项目的实际情况，要求投标人交纳投标保证</w:t>
            </w:r>
            <w:r>
              <w:rPr>
                <w:rFonts w:hint="eastAsia"/>
                <w:b/>
              </w:rPr>
              <w:t>陆仟</w:t>
            </w:r>
            <w:r>
              <w:rPr>
                <w:rFonts w:hint="eastAsia"/>
              </w:rPr>
              <w:t>元人民币。</w:t>
            </w:r>
            <w:bookmarkEnd w:id="5"/>
            <w:r>
              <w:rPr>
                <w:rFonts w:hint="eastAsia"/>
              </w:rPr>
              <w:t>交纳投标保证金的单位名称必须与参加投标的投标人名称一致</w:t>
            </w:r>
            <w:bookmarkEnd w:id="6"/>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hint="eastAsia" w:ascii="宋体" w:hAnsi="宋体"/>
                      <w:bCs/>
                      <w:sz w:val="24"/>
                      <w:szCs w:val="21"/>
                    </w:rPr>
                    <w:t>10010188000003389</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黑体" w:hAnsi="黑体" w:eastAsia="黑体"/>
                <w:bCs/>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0"/>
            <w:vAlign w:val="center"/>
          </w:tcPr>
          <w:p>
            <w:pPr>
              <w:spacing w:line="480" w:lineRule="exact"/>
              <w:jc w:val="center"/>
              <w:rPr>
                <w:rFonts w:ascii="宋体" w:hAnsi="宋体"/>
                <w:bCs/>
                <w:sz w:val="24"/>
                <w:szCs w:val="24"/>
              </w:rPr>
            </w:pPr>
            <w:bookmarkStart w:id="7"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宜兴市公用建环资源循环利用有限公司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7"/>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8" w:name="OLE_LINK90"/>
      <w:r>
        <w:rPr>
          <w:rFonts w:hint="eastAsia" w:ascii="宋体" w:hAnsi="宋体"/>
          <w:bCs/>
          <w:sz w:val="24"/>
        </w:rPr>
        <w:t xml:space="preserve">    5.1 </w:t>
      </w:r>
      <w:bookmarkStart w:id="9" w:name="OLE_LINK109"/>
      <w:r>
        <w:rPr>
          <w:rFonts w:hint="eastAsia" w:ascii="宋体" w:hAnsi="宋体"/>
          <w:bCs/>
          <w:sz w:val="24"/>
        </w:rPr>
        <w:t>本文件由</w:t>
      </w:r>
      <w:bookmarkStart w:id="10" w:name="OLE_LINK13"/>
      <w:r>
        <w:rPr>
          <w:rFonts w:hint="eastAsia" w:ascii="宋体" w:hAnsi="宋体"/>
          <w:bCs/>
          <w:sz w:val="24"/>
          <w:szCs w:val="21"/>
        </w:rPr>
        <w:t>宜兴市公用建环资源循环利用有限公司</w:t>
      </w:r>
      <w:r>
        <w:rPr>
          <w:rFonts w:hint="eastAsia" w:ascii="宋体" w:hAnsi="宋体"/>
          <w:bCs/>
          <w:sz w:val="24"/>
        </w:rPr>
        <w:t>负责解释</w:t>
      </w:r>
      <w:bookmarkEnd w:id="10"/>
      <w:r>
        <w:rPr>
          <w:rFonts w:hint="eastAsia" w:ascii="宋体" w:hAnsi="宋体"/>
          <w:bCs/>
          <w:sz w:val="24"/>
        </w:rPr>
        <w:t>。</w:t>
      </w:r>
      <w:bookmarkEnd w:id="9"/>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5" w:name="OLE_LINK16"/>
      <w:bookmarkStart w:id="16" w:name="OLE_LINK21"/>
      <w:bookmarkStart w:id="17" w:name="OLE_LINK62"/>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1"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1"/>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3" w:name="OLE_LINK115"/>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投标保证金转账记录；</w:t>
      </w:r>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供应商须通过ISO9000系列质量管理体系，ISO14000系列环境管理体系认证，GB/T28001-2011系列职业健康安全管理体系认证，提供扫描件；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9"/>
      <w:bookmarkEnd w:id="24"/>
    </w:p>
    <w:bookmarkEnd w:id="16"/>
    <w:bookmarkEnd w:id="17"/>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bookmarkStart w:id="26" w:name="OLE_LINK117"/>
      <w:r>
        <w:rPr>
          <w:rFonts w:hint="eastAsia" w:ascii="宋体" w:hAnsi="宋体"/>
          <w:b/>
          <w:sz w:val="24"/>
        </w:rPr>
        <w:t>项投标人必须按要求全部提供，否则投标无效。</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6" w:name="_GoBack"/>
      <w:bookmarkEnd w:id="106"/>
      <w:r>
        <w:rPr>
          <w:rFonts w:hint="eastAsia" w:ascii="黑体" w:hAnsi="黑体" w:eastAsia="黑体"/>
          <w:sz w:val="28"/>
        </w:rPr>
        <w:t>三 项目技术要求和有关说明</w:t>
      </w:r>
      <w:bookmarkStart w:id="70" w:name="_Toc376165139"/>
      <w:bookmarkStart w:id="71" w:name="_Toc372018970"/>
      <w:bookmarkStart w:id="72" w:name="_Toc24341"/>
      <w:bookmarkStart w:id="73" w:name="_Toc372018550"/>
      <w:bookmarkStart w:id="74" w:name="_Toc374078452"/>
      <w:bookmarkStart w:id="75" w:name="_Toc15017"/>
      <w:bookmarkStart w:id="76" w:name="_Toc26921"/>
    </w:p>
    <w:p>
      <w:pPr>
        <w:spacing w:line="360" w:lineRule="auto"/>
        <w:ind w:firstLine="480" w:firstLineChars="200"/>
        <w:rPr>
          <w:rFonts w:hint="eastAsia" w:ascii="宋体" w:hAnsi="宋体" w:cs="宋体"/>
          <w:sz w:val="24"/>
          <w:szCs w:val="24"/>
        </w:rPr>
      </w:pPr>
    </w:p>
    <w:p>
      <w:pPr>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ind w:firstLine="480" w:firstLineChars="200"/>
        <w:rPr>
          <w:rFonts w:hint="eastAsia" w:ascii="宋体" w:hAnsi="宋体"/>
          <w:color w:val="000000"/>
          <w:sz w:val="24"/>
          <w:szCs w:val="24"/>
        </w:rPr>
      </w:pPr>
      <w:r>
        <w:rPr>
          <w:rFonts w:hint="eastAsia" w:ascii="宋体" w:hAnsi="宋体"/>
          <w:color w:val="000000"/>
          <w:sz w:val="24"/>
          <w:szCs w:val="24"/>
        </w:rPr>
        <w:t>本项目为</w:t>
      </w:r>
      <w:r>
        <w:rPr>
          <w:rFonts w:hint="eastAsia" w:ascii="宋体" w:hAnsi="宋体"/>
          <w:bCs/>
          <w:color w:val="000000"/>
          <w:sz w:val="24"/>
          <w:szCs w:val="24"/>
        </w:rPr>
        <w:t>宜兴市公用建环资源循环利用有限公司100吨</w:t>
      </w:r>
      <w:r>
        <w:rPr>
          <w:rFonts w:hint="eastAsia" w:ascii="宋体" w:hAnsi="宋体"/>
          <w:color w:val="000000"/>
          <w:sz w:val="24"/>
          <w:szCs w:val="24"/>
        </w:rPr>
        <w:t>地磅。</w:t>
      </w:r>
    </w:p>
    <w:p>
      <w:pPr>
        <w:ind w:firstLine="480" w:firstLineChars="200"/>
        <w:rPr>
          <w:rFonts w:hint="eastAsia" w:ascii="宋体" w:hAnsi="宋体"/>
          <w:color w:val="000000"/>
          <w:sz w:val="24"/>
          <w:szCs w:val="24"/>
        </w:rPr>
      </w:pPr>
      <w:r>
        <w:rPr>
          <w:rFonts w:hint="eastAsia" w:ascii="宋体" w:hAnsi="宋体"/>
          <w:color w:val="000000"/>
          <w:sz w:val="24"/>
          <w:szCs w:val="24"/>
        </w:rPr>
        <w:t>二、技术要求：</w:t>
      </w:r>
    </w:p>
    <w:tbl>
      <w:tblPr>
        <w:tblStyle w:val="7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4255"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w:t>
            </w:r>
            <w:r>
              <w:rPr>
                <w:rFonts w:ascii="仿宋_GB2312" w:eastAsia="仿宋_GB2312"/>
                <w:sz w:val="24"/>
                <w:szCs w:val="32"/>
              </w:rPr>
              <w:t>8</w:t>
            </w:r>
            <w:r>
              <w:rPr>
                <w:rFonts w:hint="eastAsia" w:ascii="仿宋_GB2312" w:eastAsia="仿宋_GB2312"/>
                <w:sz w:val="24"/>
                <w:szCs w:val="32"/>
              </w:rPr>
              <w:t>m*3</w:t>
            </w:r>
            <w:r>
              <w:rPr>
                <w:rFonts w:ascii="仿宋_GB2312" w:eastAsia="仿宋_GB2312"/>
                <w:sz w:val="24"/>
                <w:szCs w:val="32"/>
              </w:rPr>
              <w:t>.4</w:t>
            </w:r>
            <w:r>
              <w:rPr>
                <w:rFonts w:hint="eastAsia" w:ascii="仿宋_GB2312" w:eastAsia="仿宋_GB2312"/>
                <w:sz w:val="24"/>
                <w:szCs w:val="32"/>
              </w:rPr>
              <w:t>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vMerge w:val="continue"/>
            <w:noWrap w:val="0"/>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3</w:t>
            </w:r>
          </w:p>
        </w:tc>
        <w:tc>
          <w:tcPr>
            <w:tcW w:w="2684"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2套地磅联网控制改造</w:t>
            </w:r>
          </w:p>
        </w:tc>
        <w:tc>
          <w:tcPr>
            <w:tcW w:w="1345" w:type="dxa"/>
            <w:noWrap w:val="0"/>
            <w:vAlign w:val="center"/>
          </w:tcPr>
          <w:p>
            <w:pPr>
              <w:ind w:firstLine="480" w:firstLineChars="200"/>
              <w:rPr>
                <w:rFonts w:hint="eastAsia" w:ascii="宋体" w:hAnsi="宋体"/>
                <w:color w:val="000000"/>
                <w:sz w:val="24"/>
                <w:szCs w:val="24"/>
              </w:rPr>
            </w:pPr>
            <w:r>
              <w:rPr>
                <w:rFonts w:hint="eastAsia" w:ascii="宋体" w:hAnsi="宋体"/>
                <w:color w:val="000000"/>
                <w:sz w:val="24"/>
                <w:szCs w:val="24"/>
              </w:rPr>
              <w:t>1</w:t>
            </w:r>
          </w:p>
        </w:tc>
        <w:tc>
          <w:tcPr>
            <w:tcW w:w="4255" w:type="dxa"/>
            <w:noWrap w:val="0"/>
            <w:vAlign w:val="top"/>
          </w:tcPr>
          <w:p>
            <w:pPr>
              <w:rPr>
                <w:rFonts w:hint="eastAsia" w:ascii="仿宋_GB2312" w:eastAsia="仿宋_GB2312"/>
                <w:sz w:val="24"/>
                <w:szCs w:val="32"/>
              </w:rPr>
            </w:pPr>
          </w:p>
        </w:tc>
      </w:tr>
    </w:tbl>
    <w:p>
      <w:pPr>
        <w:rPr>
          <w:rFonts w:hint="eastAsia" w:ascii="仿宋_GB2312" w:eastAsia="仿宋_GB2312"/>
          <w:b/>
          <w:sz w:val="32"/>
          <w:szCs w:val="32"/>
        </w:rPr>
      </w:pPr>
      <w:r>
        <w:rPr>
          <w:rFonts w:hint="eastAsia" w:ascii="仿宋_GB2312" w:eastAsia="仿宋_GB2312"/>
          <w:b/>
          <w:sz w:val="32"/>
          <w:szCs w:val="32"/>
        </w:rPr>
        <w:t>注：本次采购地磅包含土建基础等内容。供应商在响应文件中需提供土建专业清单及图纸。</w:t>
      </w:r>
    </w:p>
    <w:p>
      <w:pPr>
        <w:rPr>
          <w:rFonts w:hint="eastAsia" w:ascii="仿宋_GB2312" w:eastAsia="仿宋_GB2312"/>
          <w:b/>
          <w:sz w:val="32"/>
          <w:szCs w:val="32"/>
        </w:rPr>
      </w:pPr>
      <w:r>
        <w:rPr>
          <w:rFonts w:hint="eastAsia" w:ascii="仿宋_GB2312" w:eastAsia="仿宋_GB2312"/>
          <w:b/>
          <w:sz w:val="32"/>
          <w:szCs w:val="32"/>
        </w:rPr>
        <w:t xml:space="preserve">    二、系统功能要求：</w:t>
      </w:r>
    </w:p>
    <w:p>
      <w:pPr>
        <w:ind w:firstLine="480" w:firstLineChars="200"/>
        <w:rPr>
          <w:rFonts w:hint="eastAsia" w:ascii="宋体" w:hAnsi="宋体"/>
          <w:color w:val="000000"/>
          <w:sz w:val="24"/>
          <w:szCs w:val="24"/>
        </w:rPr>
      </w:pPr>
      <w:r>
        <w:rPr>
          <w:rFonts w:hint="eastAsia" w:ascii="宋体" w:hAnsi="宋体"/>
          <w:color w:val="000000"/>
          <w:sz w:val="24"/>
          <w:szCs w:val="24"/>
        </w:rPr>
        <w:t>1、称重计量系统采用单向静态电子汽车衡，对进站车辆进行称重。</w:t>
      </w:r>
    </w:p>
    <w:p>
      <w:pPr>
        <w:ind w:firstLine="480" w:firstLineChars="200"/>
        <w:rPr>
          <w:rFonts w:hint="eastAsia" w:ascii="宋体" w:hAnsi="宋体"/>
          <w:color w:val="000000"/>
          <w:sz w:val="24"/>
          <w:szCs w:val="24"/>
        </w:rPr>
      </w:pPr>
      <w:r>
        <w:rPr>
          <w:rFonts w:hint="eastAsia" w:ascii="宋体" w:hAnsi="宋体"/>
          <w:color w:val="000000"/>
          <w:sz w:val="24"/>
          <w:szCs w:val="24"/>
        </w:rPr>
        <w:t>2、静态电子汽车衡由视频监控子系统、语音提示子系统、红外卡位系统、汽车衡称重子系统和车号识别子系统、道闸控制子系统等组成。</w:t>
      </w:r>
    </w:p>
    <w:p>
      <w:pPr>
        <w:ind w:firstLine="480" w:firstLineChars="200"/>
        <w:rPr>
          <w:rFonts w:hint="eastAsia" w:ascii="宋体" w:hAnsi="宋体"/>
          <w:color w:val="000000"/>
          <w:sz w:val="24"/>
          <w:szCs w:val="24"/>
        </w:rPr>
      </w:pPr>
      <w:r>
        <w:rPr>
          <w:rFonts w:hint="eastAsia" w:ascii="宋体" w:hAnsi="宋体"/>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pPr>
        <w:ind w:firstLine="480" w:firstLineChars="200"/>
        <w:rPr>
          <w:rFonts w:hint="eastAsia" w:ascii="宋体" w:hAnsi="宋体"/>
          <w:color w:val="000000"/>
          <w:sz w:val="24"/>
          <w:szCs w:val="24"/>
        </w:rPr>
      </w:pPr>
      <w:r>
        <w:rPr>
          <w:rFonts w:hint="eastAsia" w:ascii="宋体" w:hAnsi="宋体"/>
          <w:color w:val="000000"/>
          <w:sz w:val="24"/>
          <w:szCs w:val="24"/>
        </w:rPr>
        <w:t>4、网络化：可与转运站监控系统联网，用以整个转运站的统一调度；还可其他设备单独远传联网，将数据信息远程传送给管理中心。</w:t>
      </w:r>
    </w:p>
    <w:p>
      <w:pPr>
        <w:ind w:firstLine="480" w:firstLineChars="200"/>
        <w:rPr>
          <w:rFonts w:hint="eastAsia" w:ascii="宋体" w:hAnsi="宋体"/>
          <w:color w:val="000000"/>
          <w:sz w:val="24"/>
          <w:szCs w:val="24"/>
        </w:rPr>
      </w:pPr>
      <w:r>
        <w:rPr>
          <w:rFonts w:hint="eastAsia" w:ascii="宋体" w:hAnsi="宋体"/>
          <w:color w:val="000000"/>
          <w:sz w:val="24"/>
          <w:szCs w:val="24"/>
        </w:rPr>
        <w:t>5、数据输出：配备打印机，可随时打印日期，车号和称重数据。</w:t>
      </w:r>
    </w:p>
    <w:p>
      <w:pPr>
        <w:ind w:firstLine="480" w:firstLineChars="200"/>
        <w:rPr>
          <w:rFonts w:hint="eastAsia" w:ascii="宋体" w:hAnsi="宋体"/>
          <w:color w:val="000000"/>
          <w:sz w:val="24"/>
          <w:szCs w:val="24"/>
        </w:rPr>
      </w:pPr>
      <w:r>
        <w:rPr>
          <w:rFonts w:hint="eastAsia" w:ascii="宋体" w:hAnsi="宋体"/>
          <w:color w:val="000000"/>
          <w:sz w:val="24"/>
          <w:szCs w:val="24"/>
        </w:rPr>
        <w:t>6、设备工作流程</w:t>
      </w:r>
    </w:p>
    <w:p>
      <w:pPr>
        <w:ind w:firstLine="480" w:firstLineChars="200"/>
        <w:rPr>
          <w:rFonts w:hint="eastAsia" w:ascii="宋体" w:hAnsi="宋体"/>
          <w:color w:val="000000"/>
          <w:sz w:val="24"/>
          <w:szCs w:val="24"/>
        </w:rPr>
      </w:pPr>
      <w:r>
        <w:rPr>
          <w:rFonts w:hint="eastAsia" w:ascii="宋体" w:hAnsi="宋体"/>
          <w:color w:val="000000"/>
          <w:sz w:val="24"/>
          <w:szCs w:val="24"/>
        </w:rPr>
        <w:t>车辆智能称重系统工作流程</w:t>
      </w:r>
    </w:p>
    <w:p>
      <w:pPr>
        <w:ind w:firstLine="480" w:firstLineChars="200"/>
        <w:rPr>
          <w:rFonts w:hint="eastAsia" w:ascii="宋体" w:hAnsi="宋体"/>
          <w:color w:val="000000"/>
          <w:sz w:val="24"/>
          <w:szCs w:val="24"/>
        </w:rPr>
      </w:pPr>
      <w:r>
        <w:rPr>
          <w:rFonts w:hint="eastAsia" w:ascii="宋体" w:hAnsi="宋体"/>
          <w:color w:val="000000"/>
          <w:sz w:val="24"/>
          <w:szCs w:val="24"/>
        </w:rPr>
        <w:t>（1）初始状态：秤前道闸关闭状态；</w:t>
      </w:r>
    </w:p>
    <w:p>
      <w:pPr>
        <w:ind w:firstLine="480" w:firstLineChars="200"/>
        <w:rPr>
          <w:rFonts w:hint="eastAsia" w:ascii="宋体" w:hAnsi="宋体"/>
          <w:color w:val="000000"/>
          <w:sz w:val="24"/>
          <w:szCs w:val="24"/>
        </w:rPr>
      </w:pPr>
      <w:r>
        <w:rPr>
          <w:rFonts w:hint="eastAsia" w:ascii="宋体" w:hAnsi="宋体"/>
          <w:color w:val="000000"/>
          <w:sz w:val="24"/>
          <w:szCs w:val="24"/>
        </w:rPr>
        <w:t>（2）进场车辆驶过读卡器前面地感线圈后，读卡器开启并开始自动读取卡号；读卡成功，秤前道闸抬起；如果读卡失败，秤前道闸不动作，系统转入手工处理状态；</w:t>
      </w:r>
    </w:p>
    <w:p>
      <w:pPr>
        <w:ind w:firstLine="480" w:firstLineChars="200"/>
        <w:rPr>
          <w:rFonts w:hint="eastAsia" w:ascii="宋体" w:hAnsi="宋体"/>
          <w:color w:val="000000"/>
          <w:sz w:val="24"/>
          <w:szCs w:val="24"/>
        </w:rPr>
      </w:pPr>
      <w:r>
        <w:rPr>
          <w:rFonts w:hint="eastAsia" w:ascii="宋体" w:hAnsi="宋体"/>
          <w:color w:val="000000"/>
          <w:sz w:val="24"/>
          <w:szCs w:val="24"/>
        </w:rPr>
        <w:t>（3）车辆驶上秤台，系统自动抓拍图片保存；</w:t>
      </w:r>
    </w:p>
    <w:p>
      <w:pPr>
        <w:ind w:firstLine="480" w:firstLineChars="200"/>
        <w:rPr>
          <w:rFonts w:hint="eastAsia" w:ascii="宋体" w:hAnsi="宋体"/>
          <w:color w:val="000000"/>
          <w:sz w:val="24"/>
          <w:szCs w:val="24"/>
        </w:rPr>
      </w:pPr>
      <w:r>
        <w:rPr>
          <w:rFonts w:hint="eastAsia" w:ascii="宋体" w:hAnsi="宋体"/>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pPr>
        <w:rPr>
          <w:rFonts w:hint="eastAsia" w:ascii="仿宋_GB2312" w:eastAsia="仿宋_GB2312"/>
          <w:b/>
          <w:sz w:val="32"/>
          <w:szCs w:val="32"/>
        </w:rPr>
      </w:pPr>
      <w:r>
        <w:rPr>
          <w:rFonts w:hint="eastAsia" w:ascii="仿宋_GB2312" w:eastAsia="仿宋_GB2312"/>
          <w:b/>
          <w:sz w:val="32"/>
          <w:szCs w:val="32"/>
        </w:rPr>
        <w:t xml:space="preserve">    三、相关要求：</w:t>
      </w:r>
    </w:p>
    <w:p>
      <w:pPr>
        <w:ind w:firstLine="480" w:firstLineChars="200"/>
        <w:rPr>
          <w:rFonts w:hint="eastAsia" w:ascii="宋体" w:hAnsi="宋体"/>
          <w:color w:val="000000"/>
          <w:sz w:val="24"/>
          <w:szCs w:val="24"/>
        </w:rPr>
      </w:pPr>
      <w:r>
        <w:rPr>
          <w:rFonts w:hint="eastAsia" w:ascii="宋体" w:hAnsi="宋体"/>
          <w:color w:val="000000"/>
          <w:sz w:val="24"/>
          <w:szCs w:val="24"/>
        </w:rPr>
        <w:t>1、基础形式：本次采购包含土建基础等内容，请供应商将相关成本纳入响应文件的报价中，成交后基坑位置需由采购人指定，</w:t>
      </w:r>
      <w:r>
        <w:rPr>
          <w:rFonts w:hint="eastAsia" w:ascii="宋体" w:hAnsi="宋体"/>
          <w:sz w:val="24"/>
          <w:szCs w:val="24"/>
        </w:rPr>
        <w:t>提交响应文件截止时间前</w:t>
      </w:r>
      <w:r>
        <w:rPr>
          <w:rFonts w:hint="eastAsia" w:ascii="宋体" w:hAnsi="宋体"/>
          <w:color w:val="000000"/>
          <w:sz w:val="24"/>
          <w:szCs w:val="24"/>
        </w:rPr>
        <w:t>供应商可联系采购人安排现场踏勘了解安装地点，响应文件中需提供完全响应采购人安装地点要求，并已将土建等费用核算在报价内的承诺书。供应商在响应文件中需提供土建专业清单及图纸。</w:t>
      </w:r>
    </w:p>
    <w:p>
      <w:pPr>
        <w:ind w:firstLine="480" w:firstLineChars="200"/>
        <w:rPr>
          <w:rFonts w:hint="eastAsia" w:ascii="宋体" w:hAnsi="宋体"/>
          <w:color w:val="000000"/>
          <w:sz w:val="24"/>
          <w:szCs w:val="24"/>
        </w:rPr>
      </w:pPr>
      <w:r>
        <w:rPr>
          <w:rFonts w:hint="eastAsia" w:ascii="宋体" w:hAnsi="宋体"/>
          <w:color w:val="000000"/>
          <w:sz w:val="24"/>
          <w:szCs w:val="24"/>
        </w:rPr>
        <w:t>2、供应商严格按照国家有关标准及招标方要求制造，提供全套确保正常运行的设备及随机备件。</w:t>
      </w:r>
    </w:p>
    <w:p>
      <w:pPr>
        <w:ind w:firstLine="480" w:firstLineChars="200"/>
        <w:rPr>
          <w:rFonts w:hint="eastAsia" w:ascii="宋体" w:hAnsi="宋体"/>
          <w:color w:val="000000"/>
          <w:sz w:val="24"/>
          <w:szCs w:val="24"/>
        </w:rPr>
      </w:pPr>
      <w:r>
        <w:rPr>
          <w:rFonts w:hint="eastAsia" w:ascii="宋体" w:hAnsi="宋体"/>
          <w:color w:val="000000"/>
          <w:sz w:val="24"/>
          <w:szCs w:val="24"/>
        </w:rPr>
        <w:t>3、供应商负责设备的现场安装及调试，确保设备正常运行并达到设计要求。</w:t>
      </w:r>
    </w:p>
    <w:p>
      <w:pPr>
        <w:ind w:firstLine="480" w:firstLineChars="200"/>
        <w:rPr>
          <w:rFonts w:hint="eastAsia" w:ascii="宋体" w:hAnsi="宋体"/>
          <w:color w:val="000000"/>
          <w:sz w:val="24"/>
          <w:szCs w:val="24"/>
        </w:rPr>
      </w:pPr>
      <w:r>
        <w:rPr>
          <w:rFonts w:hint="eastAsia" w:ascii="宋体" w:hAnsi="宋体"/>
          <w:color w:val="000000"/>
          <w:sz w:val="24"/>
          <w:szCs w:val="24"/>
        </w:rPr>
        <w:t>4、确保称体的强度和刚度。</w:t>
      </w:r>
    </w:p>
    <w:p>
      <w:pPr>
        <w:ind w:firstLine="480" w:firstLineChars="200"/>
        <w:rPr>
          <w:rFonts w:hint="eastAsia" w:ascii="宋体" w:hAnsi="宋体"/>
          <w:color w:val="000000"/>
          <w:sz w:val="24"/>
          <w:szCs w:val="24"/>
        </w:rPr>
      </w:pPr>
      <w:r>
        <w:rPr>
          <w:rFonts w:hint="eastAsia" w:ascii="宋体" w:hAnsi="宋体"/>
          <w:color w:val="000000"/>
          <w:sz w:val="24"/>
          <w:szCs w:val="24"/>
        </w:rPr>
        <w:t>5、整个系统要求称量迅速准确、操作使用方便、安装维护简单。</w:t>
      </w:r>
    </w:p>
    <w:p>
      <w:pPr>
        <w:ind w:firstLine="480" w:firstLineChars="200"/>
        <w:rPr>
          <w:rFonts w:hint="eastAsia" w:ascii="宋体" w:hAnsi="宋体"/>
          <w:color w:val="000000"/>
          <w:sz w:val="24"/>
          <w:szCs w:val="24"/>
        </w:rPr>
      </w:pPr>
      <w:r>
        <w:rPr>
          <w:rFonts w:hint="eastAsia" w:ascii="宋体" w:hAnsi="宋体"/>
          <w:color w:val="000000"/>
          <w:sz w:val="24"/>
          <w:szCs w:val="24"/>
        </w:rPr>
        <w:t>6、钢结构称台要求抗扭性能等达到相关规定并满足使用要求，整机质量稳定可靠，称体强度高、稳定性好。</w:t>
      </w:r>
    </w:p>
    <w:p>
      <w:pPr>
        <w:ind w:firstLine="480" w:firstLineChars="200"/>
        <w:rPr>
          <w:rFonts w:hint="eastAsia" w:ascii="宋体" w:hAnsi="宋体"/>
          <w:color w:val="000000"/>
          <w:sz w:val="24"/>
          <w:szCs w:val="24"/>
        </w:rPr>
      </w:pPr>
      <w:r>
        <w:rPr>
          <w:rFonts w:hint="eastAsia" w:ascii="宋体" w:hAnsi="宋体"/>
          <w:color w:val="000000"/>
          <w:sz w:val="24"/>
          <w:szCs w:val="24"/>
        </w:rPr>
        <w:t>7、汽车衡称体安全限位性能强，称体限位方式要便于观察和调整限位，要求维护方便。</w:t>
      </w:r>
    </w:p>
    <w:p>
      <w:pPr>
        <w:ind w:firstLine="480" w:firstLineChars="200"/>
        <w:rPr>
          <w:rFonts w:hint="eastAsia" w:ascii="宋体" w:hAnsi="宋体"/>
          <w:color w:val="000000"/>
          <w:sz w:val="24"/>
          <w:szCs w:val="24"/>
        </w:rPr>
      </w:pPr>
      <w:r>
        <w:rPr>
          <w:rFonts w:hint="eastAsia" w:ascii="宋体" w:hAnsi="宋体"/>
          <w:color w:val="000000"/>
          <w:sz w:val="24"/>
          <w:szCs w:val="24"/>
        </w:rPr>
        <w:t>8、汽车衡成体承重主梁采用U形梁结构，数量不少于7根；且有横向筋板和底板加固。单段面板为整板，表面无焊缝且无螺栓等附属物。</w:t>
      </w:r>
    </w:p>
    <w:p>
      <w:pPr>
        <w:ind w:firstLine="480" w:firstLineChars="200"/>
        <w:rPr>
          <w:rFonts w:hint="eastAsia" w:ascii="宋体" w:hAnsi="宋体"/>
          <w:color w:val="000000"/>
          <w:sz w:val="24"/>
          <w:szCs w:val="24"/>
        </w:rPr>
      </w:pPr>
      <w:r>
        <w:rPr>
          <w:rFonts w:hint="eastAsia" w:ascii="宋体" w:hAnsi="宋体"/>
          <w:color w:val="000000"/>
          <w:sz w:val="24"/>
          <w:szCs w:val="24"/>
        </w:rPr>
        <w:t>9、称体整体刚性应优于1/1200以满足高频次和重载的使用，满足高精度的计量要求。</w:t>
      </w:r>
    </w:p>
    <w:p>
      <w:pPr>
        <w:ind w:firstLine="480" w:firstLineChars="200"/>
        <w:rPr>
          <w:rFonts w:hint="eastAsia" w:ascii="宋体" w:hAnsi="宋体"/>
          <w:color w:val="000000"/>
          <w:sz w:val="24"/>
          <w:szCs w:val="24"/>
        </w:rPr>
      </w:pPr>
      <w:r>
        <w:rPr>
          <w:rFonts w:hint="eastAsia" w:ascii="宋体" w:hAnsi="宋体"/>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pPr>
        <w:ind w:firstLine="480" w:firstLineChars="200"/>
        <w:rPr>
          <w:rFonts w:hint="eastAsia" w:ascii="宋体" w:hAnsi="宋体"/>
          <w:color w:val="000000"/>
          <w:sz w:val="24"/>
          <w:szCs w:val="24"/>
        </w:rPr>
      </w:pPr>
      <w:r>
        <w:rPr>
          <w:rFonts w:hint="eastAsia" w:ascii="宋体" w:hAnsi="宋体"/>
          <w:color w:val="000000"/>
          <w:sz w:val="24"/>
          <w:szCs w:val="24"/>
        </w:rPr>
        <w:t>11、供应商提供的称重管理软件需保证功能齐全、能满足采购人使用要求，同时操作简单。</w:t>
      </w:r>
    </w:p>
    <w:p>
      <w:pPr>
        <w:ind w:firstLine="480" w:firstLineChars="200"/>
        <w:rPr>
          <w:rFonts w:hint="eastAsia" w:ascii="宋体" w:hAnsi="宋体"/>
          <w:color w:val="000000"/>
          <w:sz w:val="24"/>
          <w:szCs w:val="24"/>
        </w:rPr>
      </w:pPr>
      <w:r>
        <w:rPr>
          <w:rFonts w:hint="eastAsia" w:ascii="宋体" w:hAnsi="宋体"/>
          <w:color w:val="000000"/>
          <w:sz w:val="24"/>
          <w:szCs w:val="24"/>
        </w:rPr>
        <w:t>12、无人值守系统中配套电脑与打印机。</w:t>
      </w:r>
    </w:p>
    <w:p>
      <w:pPr>
        <w:ind w:firstLine="480" w:firstLineChars="200"/>
        <w:rPr>
          <w:rFonts w:hint="eastAsia" w:ascii="宋体" w:hAnsi="宋体"/>
          <w:color w:val="000000"/>
          <w:sz w:val="24"/>
          <w:szCs w:val="24"/>
        </w:rPr>
      </w:pPr>
      <w:r>
        <w:rPr>
          <w:rFonts w:hint="eastAsia" w:ascii="宋体" w:hAnsi="宋体"/>
          <w:color w:val="000000"/>
          <w:sz w:val="24"/>
          <w:szCs w:val="24"/>
        </w:rPr>
        <w:t>电脑配置要求：处理器不低于I5，内存不低于8G，品牌：联想，惠普，戴尔。</w:t>
      </w:r>
    </w:p>
    <w:p>
      <w:pPr>
        <w:ind w:firstLine="480" w:firstLineChars="200"/>
        <w:rPr>
          <w:rFonts w:hint="eastAsia" w:ascii="宋体" w:hAnsi="宋体"/>
          <w:color w:val="000000"/>
          <w:sz w:val="24"/>
          <w:szCs w:val="24"/>
        </w:rPr>
      </w:pPr>
      <w:r>
        <w:rPr>
          <w:rFonts w:hint="eastAsia" w:ascii="宋体" w:hAnsi="宋体"/>
          <w:color w:val="000000"/>
          <w:sz w:val="24"/>
          <w:szCs w:val="24"/>
        </w:rPr>
        <w:t>针式打印机：得实，惠普，爱普生。</w:t>
      </w:r>
    </w:p>
    <w:p>
      <w:pPr>
        <w:ind w:firstLine="480" w:firstLineChars="200"/>
        <w:rPr>
          <w:rFonts w:ascii="宋体" w:hAnsi="宋体"/>
          <w:sz w:val="24"/>
          <w:szCs w:val="24"/>
        </w:rPr>
      </w:pPr>
      <w:r>
        <w:rPr>
          <w:rFonts w:hint="eastAsia" w:ascii="宋体" w:hAnsi="宋体"/>
          <w:sz w:val="24"/>
          <w:szCs w:val="24"/>
        </w:rPr>
        <w:t>13、两套地磅联网改造要求：</w:t>
      </w:r>
    </w:p>
    <w:p>
      <w:pPr>
        <w:ind w:firstLine="480" w:firstLineChars="200"/>
        <w:rPr>
          <w:rFonts w:hint="eastAsia" w:ascii="宋体" w:hAnsi="宋体"/>
          <w:sz w:val="24"/>
          <w:szCs w:val="24"/>
        </w:rPr>
      </w:pPr>
      <w:r>
        <w:rPr>
          <w:rFonts w:hint="eastAsia" w:ascii="宋体" w:hAnsi="宋体"/>
          <w:sz w:val="24"/>
          <w:szCs w:val="24"/>
        </w:rPr>
        <w:t>将原有地磅系统的软件和硬件进行改造，并与此次采购的地磅系统实现数据共享。项目现场现有一台60吨地磅，改造后新增的100吨地磅负责车辆进场，现有60吨地磅负责车辆出场，</w:t>
      </w:r>
      <w:r>
        <w:rPr>
          <w:rFonts w:hint="eastAsia"/>
          <w:bCs/>
          <w:sz w:val="24"/>
          <w:szCs w:val="21"/>
        </w:rPr>
        <w:t>需要系统更换统一以后才能自动称重计算出净重，具体改造工程量为两台地磅的信号传输线路铺设，读卡器的更换统一，硬盘录像机的更换统一，系统软件的更换统一等，请各投标单位自行前往项目现场查看，</w:t>
      </w:r>
      <w:r>
        <w:rPr>
          <w:rFonts w:hint="eastAsia" w:ascii="宋体" w:hAnsi="宋体"/>
          <w:color w:val="000000"/>
          <w:sz w:val="24"/>
          <w:szCs w:val="24"/>
        </w:rPr>
        <w:t>所以费用包含在投标总价内</w:t>
      </w:r>
      <w:r>
        <w:rPr>
          <w:rFonts w:hint="eastAsia"/>
          <w:bCs/>
          <w:sz w:val="24"/>
          <w:szCs w:val="21"/>
        </w:rPr>
        <w:t>。</w:t>
      </w:r>
    </w:p>
    <w:p>
      <w:pPr>
        <w:rPr>
          <w:rFonts w:hint="eastAsia" w:ascii="仿宋_GB2312" w:eastAsia="仿宋_GB2312"/>
          <w:b/>
          <w:sz w:val="32"/>
          <w:szCs w:val="32"/>
        </w:rPr>
      </w:pPr>
      <w:r>
        <w:rPr>
          <w:rFonts w:hint="eastAsia" w:ascii="仿宋_GB2312" w:eastAsia="仿宋_GB2312"/>
          <w:b/>
          <w:sz w:val="32"/>
          <w:szCs w:val="32"/>
        </w:rPr>
        <w:t xml:space="preserve">   四、技术指标</w:t>
      </w:r>
    </w:p>
    <w:p>
      <w:pPr>
        <w:ind w:firstLine="480" w:firstLineChars="200"/>
        <w:rPr>
          <w:rFonts w:hint="eastAsia" w:ascii="宋体" w:hAnsi="宋体"/>
          <w:color w:val="000000"/>
          <w:sz w:val="24"/>
          <w:szCs w:val="24"/>
        </w:rPr>
      </w:pPr>
      <w:r>
        <w:rPr>
          <w:rFonts w:hint="eastAsia" w:ascii="宋体" w:hAnsi="宋体"/>
          <w:color w:val="000000"/>
          <w:sz w:val="24"/>
          <w:szCs w:val="24"/>
        </w:rPr>
        <w:t>1、称台技术指标</w:t>
      </w:r>
    </w:p>
    <w:p>
      <w:pPr>
        <w:ind w:firstLine="480" w:firstLineChars="200"/>
        <w:rPr>
          <w:rFonts w:hint="eastAsia" w:ascii="宋体" w:hAnsi="宋体"/>
          <w:color w:val="000000"/>
          <w:sz w:val="24"/>
          <w:szCs w:val="24"/>
        </w:rPr>
      </w:pPr>
      <w:r>
        <w:rPr>
          <w:rFonts w:hint="eastAsia" w:ascii="宋体" w:hAnsi="宋体"/>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pPr>
        <w:ind w:firstLine="480" w:firstLineChars="200"/>
        <w:rPr>
          <w:rFonts w:hint="eastAsia" w:ascii="宋体" w:hAnsi="宋体"/>
          <w:color w:val="000000"/>
          <w:sz w:val="24"/>
          <w:szCs w:val="24"/>
        </w:rPr>
      </w:pPr>
      <w:r>
        <w:rPr>
          <w:rFonts w:hint="eastAsia" w:ascii="宋体" w:hAnsi="宋体"/>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hint="eastAsia" w:ascii="宋体" w:hAnsi="宋体"/>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hint="eastAsia" w:ascii="宋体" w:hAnsi="宋体" w:cs="宋体"/>
          <w:b/>
          <w:sz w:val="24"/>
          <w:szCs w:val="22"/>
        </w:rPr>
        <w:t>（提供秤体钢材原产地证明</w:t>
      </w:r>
      <w:r>
        <w:rPr>
          <w:rFonts w:hint="eastAsia" w:ascii="宋体" w:hAnsi="宋体" w:cs="宋体"/>
          <w:b/>
          <w:sz w:val="24"/>
        </w:rPr>
        <w:t>，否则评标小组不予认可。</w:t>
      </w:r>
      <w:r>
        <w:rPr>
          <w:rFonts w:hint="eastAsia" w:ascii="宋体" w:hAnsi="宋体"/>
          <w:color w:val="000000"/>
          <w:sz w:val="24"/>
          <w:szCs w:val="24"/>
        </w:rPr>
        <w:t>）</w:t>
      </w:r>
    </w:p>
    <w:p>
      <w:pPr>
        <w:ind w:firstLine="480" w:firstLineChars="200"/>
        <w:rPr>
          <w:rFonts w:hint="eastAsia" w:ascii="宋体" w:hAnsi="宋体"/>
          <w:color w:val="000000"/>
          <w:sz w:val="24"/>
          <w:szCs w:val="24"/>
        </w:rPr>
      </w:pPr>
      <w:r>
        <w:rPr>
          <w:rFonts w:hint="eastAsia" w:ascii="宋体" w:hAnsi="宋体"/>
          <w:color w:val="000000"/>
          <w:sz w:val="24"/>
          <w:szCs w:val="24"/>
        </w:rPr>
        <w:t xml:space="preserve">1.3汽车衡承重台的设计要进行称体刚度、强度受力分析计算，保证承重台受力合理，具有良好的钢度、强度、承重台的最大安全荷载额为130%最大称量。 </w:t>
      </w:r>
    </w:p>
    <w:p>
      <w:pPr>
        <w:ind w:firstLine="480" w:firstLineChars="200"/>
        <w:rPr>
          <w:rFonts w:hint="eastAsia" w:ascii="宋体" w:hAnsi="宋体"/>
          <w:color w:val="000000"/>
          <w:sz w:val="24"/>
          <w:szCs w:val="24"/>
        </w:rPr>
      </w:pPr>
      <w:r>
        <w:rPr>
          <w:rFonts w:hint="eastAsia" w:ascii="宋体" w:hAnsi="宋体"/>
          <w:color w:val="000000"/>
          <w:sz w:val="24"/>
          <w:szCs w:val="24"/>
        </w:rPr>
        <w:t>1.4称台工作环境温度-40℃-+55℃</w:t>
      </w:r>
    </w:p>
    <w:p>
      <w:pPr>
        <w:ind w:firstLine="480" w:firstLineChars="200"/>
        <w:rPr>
          <w:rFonts w:hint="eastAsia" w:ascii="宋体" w:hAnsi="宋体"/>
          <w:color w:val="000000"/>
          <w:sz w:val="24"/>
          <w:szCs w:val="24"/>
        </w:rPr>
      </w:pPr>
      <w:r>
        <w:rPr>
          <w:rFonts w:hint="eastAsia" w:ascii="宋体" w:hAnsi="宋体"/>
          <w:color w:val="000000"/>
          <w:sz w:val="24"/>
          <w:szCs w:val="24"/>
        </w:rPr>
        <w:t>1.5</w:t>
      </w:r>
    </w:p>
    <w:p>
      <w:pPr>
        <w:tabs>
          <w:tab w:val="left" w:pos="5400"/>
        </w:tabs>
        <w:adjustRightInd w:val="0"/>
        <w:jc w:val="center"/>
        <w:textAlignment w:val="baseline"/>
        <w:rPr>
          <w:kern w:val="0"/>
          <w:sz w:val="24"/>
          <w:szCs w:val="24"/>
        </w:rPr>
      </w:pPr>
      <w:r>
        <w:rPr>
          <w:kern w:val="0"/>
          <w:sz w:val="24"/>
          <w:szCs w:val="24"/>
        </w:rPr>
        <w:t>金属防腐氟碳涂料技术指标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项目</w:t>
            </w:r>
          </w:p>
        </w:tc>
        <w:tc>
          <w:tcPr>
            <w:tcW w:w="4140" w:type="dxa"/>
            <w:noWrap w:val="0"/>
            <w:vAlign w:val="center"/>
          </w:tcPr>
          <w:p>
            <w:pPr>
              <w:adjustRightInd w:val="0"/>
              <w:snapToGrid w:val="0"/>
              <w:jc w:val="center"/>
              <w:textAlignment w:val="baseline"/>
              <w:rPr>
                <w:kern w:val="0"/>
                <w:sz w:val="24"/>
                <w:szCs w:val="24"/>
              </w:rPr>
            </w:pPr>
            <w:r>
              <w:rPr>
                <w:kern w:val="0"/>
                <w:sz w:val="24"/>
                <w:szCs w:val="24"/>
              </w:rPr>
              <w:t>指标</w:t>
            </w:r>
          </w:p>
        </w:tc>
        <w:tc>
          <w:tcPr>
            <w:tcW w:w="2160" w:type="dxa"/>
            <w:noWrap w:val="0"/>
            <w:vAlign w:val="center"/>
          </w:tcPr>
          <w:p>
            <w:pPr>
              <w:adjustRightInd w:val="0"/>
              <w:snapToGrid w:val="0"/>
              <w:jc w:val="center"/>
              <w:textAlignment w:val="baseline"/>
              <w:rPr>
                <w:kern w:val="0"/>
                <w:sz w:val="24"/>
                <w:szCs w:val="24"/>
              </w:rPr>
            </w:pPr>
            <w:r>
              <w:rPr>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耐人工老化</w:t>
            </w:r>
          </w:p>
        </w:tc>
        <w:tc>
          <w:tcPr>
            <w:tcW w:w="4140" w:type="dxa"/>
            <w:noWrap w:val="0"/>
            <w:vAlign w:val="center"/>
          </w:tcPr>
          <w:p>
            <w:pPr>
              <w:adjustRightInd w:val="0"/>
              <w:snapToGrid w:val="0"/>
              <w:jc w:val="center"/>
              <w:textAlignment w:val="baseline"/>
              <w:rPr>
                <w:kern w:val="0"/>
                <w:sz w:val="24"/>
                <w:szCs w:val="24"/>
              </w:rPr>
            </w:pPr>
            <w:r>
              <w:rPr>
                <w:kern w:val="0"/>
                <w:sz w:val="24"/>
                <w:szCs w:val="24"/>
              </w:rPr>
              <w:t>5000小时无粉化、无龟裂</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1865-2009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附着力</w:t>
            </w:r>
          </w:p>
        </w:tc>
        <w:tc>
          <w:tcPr>
            <w:tcW w:w="4140" w:type="dxa"/>
            <w:noWrap w:val="0"/>
            <w:vAlign w:val="center"/>
          </w:tcPr>
          <w:p>
            <w:pPr>
              <w:adjustRightInd w:val="0"/>
              <w:snapToGrid w:val="0"/>
              <w:jc w:val="center"/>
              <w:textAlignment w:val="baseline"/>
              <w:rPr>
                <w:kern w:val="0"/>
                <w:sz w:val="24"/>
                <w:szCs w:val="24"/>
              </w:rPr>
            </w:pPr>
            <w:r>
              <w:rPr>
                <w:kern w:val="0"/>
                <w:sz w:val="24"/>
                <w:szCs w:val="24"/>
              </w:rPr>
              <w:t>一级</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铅笔硬度</w:t>
            </w:r>
          </w:p>
        </w:tc>
        <w:tc>
          <w:tcPr>
            <w:tcW w:w="4140" w:type="dxa"/>
            <w:noWrap w:val="0"/>
            <w:vAlign w:val="center"/>
          </w:tcPr>
          <w:p>
            <w:pPr>
              <w:adjustRightInd w:val="0"/>
              <w:snapToGrid w:val="0"/>
              <w:jc w:val="center"/>
              <w:textAlignment w:val="baseline"/>
              <w:rPr>
                <w:kern w:val="0"/>
                <w:sz w:val="24"/>
                <w:szCs w:val="24"/>
              </w:rPr>
            </w:pPr>
            <w:r>
              <w:rPr>
                <w:kern w:val="0"/>
                <w:sz w:val="24"/>
                <w:szCs w:val="24"/>
              </w:rPr>
              <w:t>2H-3H</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耐刷洗性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12000次漆膜无破损</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柔韧性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1mm</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1731-1993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耐冲击强度</w:t>
            </w:r>
          </w:p>
        </w:tc>
        <w:tc>
          <w:tcPr>
            <w:tcW w:w="4140" w:type="dxa"/>
            <w:noWrap w:val="0"/>
            <w:vAlign w:val="center"/>
          </w:tcPr>
          <w:p>
            <w:pPr>
              <w:adjustRightInd w:val="0"/>
              <w:snapToGrid w:val="0"/>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涂膜耐冻融性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20次不起泡、不剥落、无裂纹</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耐水性</w:t>
            </w:r>
          </w:p>
        </w:tc>
        <w:tc>
          <w:tcPr>
            <w:tcW w:w="4140" w:type="dxa"/>
            <w:noWrap w:val="0"/>
            <w:vAlign w:val="center"/>
          </w:tcPr>
          <w:p>
            <w:pPr>
              <w:adjustRightInd w:val="0"/>
              <w:snapToGrid w:val="0"/>
              <w:jc w:val="center"/>
              <w:textAlignment w:val="baseline"/>
              <w:rPr>
                <w:kern w:val="0"/>
                <w:sz w:val="24"/>
                <w:szCs w:val="24"/>
              </w:rPr>
            </w:pPr>
            <w:r>
              <w:rPr>
                <w:kern w:val="0"/>
                <w:sz w:val="24"/>
                <w:szCs w:val="24"/>
              </w:rPr>
              <w:t>288小时，不起泡、不脱落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耐酸雾实验</w:t>
            </w:r>
          </w:p>
        </w:tc>
        <w:tc>
          <w:tcPr>
            <w:tcW w:w="4140" w:type="dxa"/>
            <w:noWrap w:val="0"/>
            <w:vAlign w:val="center"/>
          </w:tcPr>
          <w:p>
            <w:pPr>
              <w:adjustRightInd w:val="0"/>
              <w:snapToGrid w:val="0"/>
              <w:jc w:val="center"/>
              <w:textAlignment w:val="baseline"/>
              <w:rPr>
                <w:kern w:val="0"/>
                <w:sz w:val="24"/>
                <w:szCs w:val="24"/>
              </w:rPr>
            </w:pPr>
            <w:r>
              <w:rPr>
                <w:kern w:val="0"/>
                <w:sz w:val="24"/>
                <w:szCs w:val="24"/>
              </w:rPr>
              <w:t>2000小时，漆膜不起泡，不脱落</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耐化学药品性</w:t>
            </w:r>
          </w:p>
        </w:tc>
        <w:tc>
          <w:tcPr>
            <w:tcW w:w="4140" w:type="dxa"/>
            <w:noWrap w:val="0"/>
            <w:vAlign w:val="center"/>
          </w:tcPr>
          <w:p>
            <w:pPr>
              <w:adjustRightInd w:val="0"/>
              <w:snapToGrid w:val="0"/>
              <w:jc w:val="center"/>
              <w:textAlignment w:val="baseline"/>
              <w:rPr>
                <w:kern w:val="0"/>
                <w:sz w:val="24"/>
                <w:szCs w:val="24"/>
              </w:rPr>
            </w:pPr>
            <w:r>
              <w:rPr>
                <w:kern w:val="0"/>
                <w:sz w:val="24"/>
                <w:szCs w:val="24"/>
              </w:rPr>
              <w:t>10%硫酸、10%氢氧化钠、10%氨水、甲苯浸泡14天，漆膜无变化</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使用温度</w:t>
            </w:r>
          </w:p>
        </w:tc>
        <w:tc>
          <w:tcPr>
            <w:tcW w:w="4140" w:type="dxa"/>
            <w:noWrap w:val="0"/>
            <w:vAlign w:val="center"/>
          </w:tcPr>
          <w:p>
            <w:pPr>
              <w:adjustRightInd w:val="0"/>
              <w:snapToGrid w:val="0"/>
              <w:jc w:val="center"/>
              <w:textAlignment w:val="baseline"/>
              <w:rPr>
                <w:kern w:val="0"/>
                <w:sz w:val="24"/>
                <w:szCs w:val="24"/>
              </w:rPr>
            </w:pPr>
            <w:r>
              <w:rPr>
                <w:kern w:val="0"/>
                <w:sz w:val="24"/>
                <w:szCs w:val="24"/>
              </w:rPr>
              <w:t>-40OC-140OC可正常使用</w:t>
            </w:r>
          </w:p>
        </w:tc>
        <w:tc>
          <w:tcPr>
            <w:tcW w:w="2160" w:type="dxa"/>
            <w:noWrap w:val="0"/>
            <w:vAlign w:val="center"/>
          </w:tcPr>
          <w:p>
            <w:pPr>
              <w:adjustRightInd w:val="0"/>
              <w:snapToGrid w:val="0"/>
              <w:jc w:val="center"/>
              <w:textAlignment w:val="baseline"/>
              <w:rPr>
                <w:kern w:val="0"/>
                <w:sz w:val="24"/>
                <w:szCs w:val="24"/>
              </w:rPr>
            </w:pPr>
            <w:r>
              <w:rPr>
                <w:kern w:val="0"/>
                <w:sz w:val="24"/>
                <w:szCs w:val="24"/>
              </w:rPr>
              <w:t>GB/T 1735-2009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textAlignment w:val="baseline"/>
              <w:rPr>
                <w:kern w:val="0"/>
                <w:sz w:val="24"/>
                <w:szCs w:val="24"/>
              </w:rPr>
            </w:pPr>
            <w:r>
              <w:rPr>
                <w:kern w:val="0"/>
                <w:sz w:val="24"/>
                <w:szCs w:val="24"/>
              </w:rPr>
              <w:t>符合指标</w:t>
            </w:r>
          </w:p>
        </w:tc>
        <w:tc>
          <w:tcPr>
            <w:tcW w:w="4140" w:type="dxa"/>
            <w:noWrap w:val="0"/>
            <w:vAlign w:val="center"/>
          </w:tcPr>
          <w:p>
            <w:pPr>
              <w:adjustRightInd w:val="0"/>
              <w:snapToGrid w:val="0"/>
              <w:jc w:val="center"/>
              <w:textAlignment w:val="baseline"/>
              <w:rPr>
                <w:kern w:val="0"/>
                <w:sz w:val="24"/>
                <w:szCs w:val="24"/>
              </w:rPr>
            </w:pPr>
            <w:r>
              <w:rPr>
                <w:kern w:val="0"/>
                <w:sz w:val="24"/>
                <w:szCs w:val="24"/>
              </w:rPr>
              <w:t>Q/DF.J.01-1997</w:t>
            </w:r>
          </w:p>
        </w:tc>
        <w:tc>
          <w:tcPr>
            <w:tcW w:w="2160" w:type="dxa"/>
            <w:noWrap w:val="0"/>
            <w:vAlign w:val="center"/>
          </w:tcPr>
          <w:p>
            <w:pPr>
              <w:adjustRightInd w:val="0"/>
              <w:snapToGrid w:val="0"/>
              <w:jc w:val="center"/>
              <w:textAlignment w:val="baseline"/>
              <w:rPr>
                <w:kern w:val="0"/>
                <w:sz w:val="24"/>
                <w:szCs w:val="24"/>
              </w:rPr>
            </w:pPr>
          </w:p>
        </w:tc>
      </w:tr>
    </w:tbl>
    <w:p>
      <w:pPr>
        <w:rPr>
          <w:rFonts w:hint="eastAsia" w:ascii="仿宋_GB2312" w:eastAsia="仿宋_GB2312"/>
          <w:b/>
          <w:sz w:val="32"/>
          <w:szCs w:val="32"/>
        </w:rPr>
      </w:pPr>
      <w:r>
        <w:rPr>
          <w:rFonts w:hint="eastAsia" w:ascii="仿宋_GB2312" w:eastAsia="仿宋_GB2312"/>
          <w:b/>
          <w:sz w:val="32"/>
          <w:szCs w:val="32"/>
        </w:rPr>
        <w:t>2、传感器技术指标：</w:t>
      </w:r>
    </w:p>
    <w:p>
      <w:pPr>
        <w:rPr>
          <w:rFonts w:hint="eastAsia" w:ascii="仿宋_GB2312" w:eastAsia="仿宋_GB2312"/>
          <w:b/>
          <w:sz w:val="32"/>
          <w:szCs w:val="32"/>
        </w:rPr>
      </w:pPr>
      <w:r>
        <w:rPr>
          <w:rFonts w:hint="eastAsia" w:ascii="仿宋_GB2312" w:eastAsia="仿宋_GB2312"/>
          <w:b/>
          <w:sz w:val="32"/>
          <w:szCs w:val="32"/>
        </w:rPr>
        <w:t>2.1相关技术指标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传感器规格型号</w:t>
            </w:r>
          </w:p>
        </w:tc>
        <w:tc>
          <w:tcPr>
            <w:tcW w:w="4261" w:type="dxa"/>
            <w:noWrap w:val="0"/>
            <w:vAlign w:val="center"/>
          </w:tcPr>
          <w:p>
            <w:pPr>
              <w:ind w:firstLine="480" w:firstLineChars="20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制造厂家</w:t>
            </w:r>
          </w:p>
        </w:tc>
        <w:tc>
          <w:tcPr>
            <w:tcW w:w="426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 xml:space="preserve">申克，富林泰克，梅特勒-托利多， HBM </w:t>
            </w:r>
          </w:p>
          <w:p>
            <w:pPr>
              <w:ind w:firstLine="482" w:firstLineChars="200"/>
              <w:jc w:val="center"/>
              <w:rPr>
                <w:rFonts w:hint="eastAsia" w:ascii="宋体" w:hAnsi="宋体"/>
                <w:color w:val="000000"/>
                <w:sz w:val="24"/>
                <w:szCs w:val="24"/>
              </w:rPr>
            </w:pPr>
            <w:r>
              <w:rPr>
                <w:rFonts w:hint="eastAsia" w:ascii="宋体" w:hAnsi="宋体" w:cs="宋体"/>
                <w:b/>
                <w:sz w:val="24"/>
                <w:szCs w:val="22"/>
              </w:rPr>
              <w:t>提供进口报关单证明，</w:t>
            </w:r>
            <w:r>
              <w:rPr>
                <w:rFonts w:hint="eastAsia" w:ascii="宋体" w:hAnsi="宋体" w:cs="宋体"/>
                <w:b/>
                <w:sz w:val="24"/>
              </w:rPr>
              <w:t>原件或公证件</w:t>
            </w:r>
            <w:r>
              <w:rPr>
                <w:rFonts w:hint="eastAsia" w:ascii="宋体" w:hAnsi="宋体" w:cs="宋体"/>
                <w:b/>
                <w:sz w:val="24"/>
                <w:szCs w:val="22"/>
              </w:rPr>
              <w:t>提交响应文件截止时间前一</w:t>
            </w:r>
            <w:r>
              <w:rPr>
                <w:rFonts w:hint="eastAsia" w:ascii="宋体" w:hAnsi="宋体" w:cs="宋体"/>
                <w:b/>
                <w:sz w:val="24"/>
              </w:rPr>
              <w:t>并递交，否则评标小组不予认可。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数量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准确等级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工作温度范围（℃）</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-40到55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型号输出方式</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RS485标准串行接口信号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防护等级</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传感器材质</w:t>
            </w:r>
          </w:p>
        </w:tc>
        <w:tc>
          <w:tcPr>
            <w:tcW w:w="4261" w:type="dxa"/>
            <w:noWrap w:val="0"/>
            <w:vAlign w:val="center"/>
          </w:tcPr>
          <w:p>
            <w:pPr>
              <w:ind w:firstLine="480" w:firstLineChars="200"/>
              <w:jc w:val="center"/>
              <w:rPr>
                <w:rFonts w:hint="eastAsia" w:ascii="宋体" w:hAnsi="宋体"/>
                <w:color w:val="000000"/>
                <w:sz w:val="24"/>
                <w:szCs w:val="24"/>
              </w:rPr>
            </w:pPr>
            <w:r>
              <w:rPr>
                <w:rFonts w:hint="eastAsia" w:ascii="宋体" w:hAnsi="宋体"/>
                <w:color w:val="000000"/>
                <w:sz w:val="24"/>
                <w:szCs w:val="24"/>
              </w:rPr>
              <w:t>不锈钢</w:t>
            </w:r>
          </w:p>
        </w:tc>
      </w:tr>
    </w:tbl>
    <w:p>
      <w:pPr>
        <w:ind w:firstLine="480" w:firstLineChars="200"/>
        <w:rPr>
          <w:rFonts w:hint="eastAsia" w:ascii="宋体" w:hAnsi="宋体"/>
          <w:color w:val="000000"/>
          <w:sz w:val="24"/>
          <w:szCs w:val="24"/>
        </w:rPr>
      </w:pPr>
      <w:r>
        <w:rPr>
          <w:rFonts w:hint="eastAsia" w:ascii="宋体" w:hAnsi="宋体"/>
          <w:color w:val="000000"/>
          <w:sz w:val="24"/>
          <w:szCs w:val="24"/>
        </w:rPr>
        <w:t>2.2、传感器需通过百万次疲劳试验</w:t>
      </w:r>
      <w:r>
        <w:rPr>
          <w:rFonts w:hint="eastAsia" w:ascii="宋体" w:hAnsi="宋体" w:cs="宋体"/>
          <w:b/>
          <w:sz w:val="24"/>
          <w:szCs w:val="22"/>
        </w:rPr>
        <w:t>(提供省级及以上第三方检测单位检测报告证明，</w:t>
      </w:r>
      <w:r>
        <w:rPr>
          <w:rFonts w:hint="eastAsia" w:ascii="宋体" w:hAnsi="宋体" w:cs="宋体"/>
          <w:b/>
          <w:sz w:val="24"/>
        </w:rPr>
        <w:t>原件或公证</w:t>
      </w:r>
      <w:r>
        <w:rPr>
          <w:rFonts w:hint="eastAsia" w:ascii="宋体" w:hAnsi="宋体" w:cs="宋体"/>
          <w:b/>
          <w:sz w:val="24"/>
          <w:szCs w:val="22"/>
        </w:rPr>
        <w:t>件提交响应文件截止时间前一并</w:t>
      </w:r>
      <w:r>
        <w:rPr>
          <w:rFonts w:hint="eastAsia" w:ascii="宋体" w:hAnsi="宋体" w:cs="宋体"/>
          <w:b/>
          <w:sz w:val="24"/>
        </w:rPr>
        <w:t>递交，否则评标小组不予认可。</w:t>
      </w:r>
      <w:r>
        <w:rPr>
          <w:rFonts w:hint="eastAsia" w:ascii="宋体" w:hAnsi="宋体"/>
          <w:color w:val="000000"/>
          <w:sz w:val="24"/>
          <w:szCs w:val="24"/>
        </w:rPr>
        <w:t>)，传感器防护等级IP68以上</w:t>
      </w:r>
    </w:p>
    <w:p>
      <w:pPr>
        <w:ind w:firstLine="480" w:firstLineChars="200"/>
        <w:rPr>
          <w:rFonts w:hint="eastAsia" w:ascii="宋体" w:hAnsi="宋体"/>
          <w:color w:val="000000"/>
          <w:sz w:val="24"/>
          <w:szCs w:val="24"/>
        </w:rPr>
      </w:pPr>
      <w:r>
        <w:rPr>
          <w:rFonts w:hint="eastAsia" w:ascii="宋体" w:hAnsi="宋体"/>
          <w:color w:val="000000"/>
          <w:sz w:val="24"/>
          <w:szCs w:val="24"/>
        </w:rPr>
        <w:t>3、电子称重仪表技术指标：</w:t>
      </w:r>
    </w:p>
    <w:p>
      <w:pPr>
        <w:ind w:firstLine="480" w:firstLineChars="200"/>
        <w:rPr>
          <w:rFonts w:hint="eastAsia" w:ascii="宋体" w:hAnsi="宋体"/>
          <w:color w:val="000000"/>
          <w:sz w:val="24"/>
          <w:szCs w:val="24"/>
        </w:rPr>
      </w:pPr>
      <w:r>
        <w:rPr>
          <w:rFonts w:hint="eastAsia" w:ascii="宋体" w:hAnsi="宋体"/>
          <w:color w:val="000000"/>
          <w:sz w:val="24"/>
          <w:szCs w:val="24"/>
        </w:rPr>
        <w:t>3.1工作环境温度-10℃-+40℃.</w:t>
      </w:r>
    </w:p>
    <w:p>
      <w:pPr>
        <w:ind w:firstLine="480" w:firstLineChars="200"/>
        <w:rPr>
          <w:rFonts w:hint="eastAsia" w:ascii="宋体" w:hAnsi="宋体"/>
          <w:color w:val="000000"/>
          <w:sz w:val="24"/>
          <w:szCs w:val="24"/>
        </w:rPr>
      </w:pPr>
      <w:r>
        <w:rPr>
          <w:rFonts w:hint="eastAsia" w:ascii="宋体" w:hAnsi="宋体"/>
          <w:color w:val="000000"/>
          <w:sz w:val="24"/>
          <w:szCs w:val="24"/>
        </w:rPr>
        <w:t>3.2具有良好的人机对话界面，功能齐全，性能稳定。抗干扰试验符合IEC61000-4：1995的有关规定，称重显示仪表符合GB7724-2008《电子称重仪表》中相关要求</w:t>
      </w:r>
    </w:p>
    <w:p>
      <w:pPr>
        <w:ind w:firstLine="480" w:firstLineChars="200"/>
        <w:rPr>
          <w:rFonts w:hint="eastAsia" w:ascii="宋体" w:hAnsi="宋体"/>
          <w:color w:val="000000"/>
          <w:sz w:val="24"/>
          <w:szCs w:val="24"/>
        </w:rPr>
      </w:pPr>
      <w:r>
        <w:rPr>
          <w:rFonts w:hint="eastAsia" w:ascii="宋体" w:hAnsi="宋体"/>
          <w:color w:val="000000"/>
          <w:sz w:val="24"/>
          <w:szCs w:val="24"/>
        </w:rPr>
        <w:t>3.3仪表防护等级IP65以上</w:t>
      </w:r>
    </w:p>
    <w:p>
      <w:pPr>
        <w:ind w:firstLine="480" w:firstLineChars="200"/>
        <w:rPr>
          <w:rFonts w:hint="eastAsia" w:ascii="宋体" w:hAnsi="宋体"/>
          <w:color w:val="000000"/>
          <w:sz w:val="24"/>
          <w:szCs w:val="24"/>
        </w:rPr>
      </w:pPr>
      <w:r>
        <w:rPr>
          <w:rFonts w:hint="eastAsia" w:ascii="宋体" w:hAnsi="宋体"/>
          <w:color w:val="000000"/>
          <w:sz w:val="24"/>
          <w:szCs w:val="24"/>
        </w:rPr>
        <w:t>4、图像抓拍与视频监控子系统</w:t>
      </w:r>
    </w:p>
    <w:p>
      <w:pPr>
        <w:ind w:firstLine="480" w:firstLineChars="200"/>
        <w:rPr>
          <w:rFonts w:hint="eastAsia" w:ascii="宋体" w:hAnsi="宋体"/>
          <w:color w:val="000000"/>
          <w:sz w:val="24"/>
          <w:szCs w:val="24"/>
        </w:rPr>
      </w:pPr>
      <w:r>
        <w:rPr>
          <w:rFonts w:hint="eastAsia" w:ascii="宋体" w:hAnsi="宋体"/>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pPr>
        <w:ind w:firstLine="480" w:firstLineChars="200"/>
        <w:rPr>
          <w:rFonts w:hint="eastAsia" w:ascii="宋体" w:hAnsi="宋体"/>
          <w:color w:val="000000"/>
          <w:sz w:val="24"/>
          <w:szCs w:val="24"/>
        </w:rPr>
      </w:pPr>
      <w:r>
        <w:rPr>
          <w:rFonts w:hint="eastAsia" w:ascii="宋体" w:hAnsi="宋体"/>
          <w:color w:val="000000"/>
          <w:sz w:val="24"/>
          <w:szCs w:val="24"/>
        </w:rPr>
        <w:t>监控系统配置硬盘录像机具有RJ45网络接口，可通过该接口连接监控网络，实现网络监控等功能。</w:t>
      </w:r>
    </w:p>
    <w:p>
      <w:pPr>
        <w:ind w:firstLine="480" w:firstLineChars="200"/>
        <w:rPr>
          <w:rFonts w:hint="eastAsia" w:ascii="宋体" w:hAnsi="宋体"/>
          <w:color w:val="000000"/>
          <w:sz w:val="24"/>
          <w:szCs w:val="24"/>
        </w:rPr>
      </w:pPr>
      <w:r>
        <w:rPr>
          <w:rFonts w:hint="eastAsia" w:ascii="宋体" w:hAnsi="宋体"/>
          <w:color w:val="000000"/>
          <w:sz w:val="24"/>
          <w:szCs w:val="24"/>
        </w:rPr>
        <w:t>配置硬盘录像机可实现以下功能：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录像：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定时录像、手动录像、移动侦测录像等多种录像方式。</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硬盘上文件可以选择循环记录和非循环记录。</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U</w:t>
      </w:r>
      <w:r>
        <w:rPr>
          <w:rFonts w:hint="eastAsia" w:ascii="宋体" w:hAnsi="宋体"/>
          <w:color w:val="000000"/>
          <w:sz w:val="24"/>
          <w:szCs w:val="24"/>
        </w:rPr>
        <w:t>盘、</w:t>
      </w:r>
      <w:r>
        <w:rPr>
          <w:rFonts w:ascii="宋体" w:hAnsi="宋体"/>
          <w:color w:val="000000"/>
          <w:sz w:val="24"/>
          <w:szCs w:val="24"/>
        </w:rPr>
        <w:t>USB</w:t>
      </w:r>
      <w:r>
        <w:rPr>
          <w:rFonts w:hint="eastAsia" w:ascii="宋体" w:hAnsi="宋体"/>
          <w:color w:val="000000"/>
          <w:sz w:val="24"/>
          <w:szCs w:val="24"/>
        </w:rPr>
        <w:t>硬盘、</w:t>
      </w:r>
      <w:r>
        <w:rPr>
          <w:rFonts w:ascii="宋体" w:hAnsi="宋体"/>
          <w:color w:val="000000"/>
          <w:sz w:val="24"/>
          <w:szCs w:val="24"/>
        </w:rPr>
        <w:t>USB CDRW</w:t>
      </w:r>
      <w:r>
        <w:rPr>
          <w:rFonts w:hint="eastAsia" w:ascii="宋体" w:hAnsi="宋体"/>
          <w:color w:val="000000"/>
          <w:sz w:val="24"/>
          <w:szCs w:val="24"/>
        </w:rPr>
        <w:t>及</w:t>
      </w:r>
      <w:r>
        <w:rPr>
          <w:rFonts w:ascii="宋体" w:hAnsi="宋体"/>
          <w:color w:val="000000"/>
          <w:sz w:val="24"/>
          <w:szCs w:val="24"/>
        </w:rPr>
        <w:t>IDE CDRW</w:t>
      </w:r>
      <w:r>
        <w:rPr>
          <w:rFonts w:hint="eastAsia" w:ascii="宋体" w:hAnsi="宋体"/>
          <w:color w:val="000000"/>
          <w:sz w:val="24"/>
          <w:szCs w:val="24"/>
        </w:rPr>
        <w:t>备份设备。</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预览与回放</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支持监视器或</w:t>
      </w:r>
      <w:r>
        <w:rPr>
          <w:rFonts w:ascii="宋体" w:hAnsi="宋体"/>
          <w:color w:val="000000"/>
          <w:sz w:val="24"/>
          <w:szCs w:val="24"/>
        </w:rPr>
        <w:t>VGA</w:t>
      </w:r>
      <w:r>
        <w:rPr>
          <w:rFonts w:hint="eastAsia" w:ascii="宋体" w:hAnsi="宋体"/>
          <w:color w:val="000000"/>
          <w:sz w:val="24"/>
          <w:szCs w:val="24"/>
        </w:rPr>
        <w:t>输出连接。</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支持图像局部遮盖。</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支持快放、慢放、单帧等回放模式，按录像类型、按时间进行检索。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网络功能</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TCP/IP</w:t>
      </w:r>
      <w:r>
        <w:rPr>
          <w:rFonts w:hint="eastAsia" w:ascii="宋体" w:hAnsi="宋体"/>
          <w:color w:val="000000"/>
          <w:sz w:val="24"/>
          <w:szCs w:val="24"/>
        </w:rPr>
        <w:t>协议。</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可通过网络下载网络硬盘录像机上的录像文件，也可通过网络远程回放网络硬盘录像机上记录的录像文件。</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具备</w:t>
      </w:r>
      <w:r>
        <w:rPr>
          <w:rFonts w:ascii="宋体" w:hAnsi="宋体"/>
          <w:color w:val="000000"/>
          <w:sz w:val="24"/>
          <w:szCs w:val="24"/>
        </w:rPr>
        <w:t>WEB SERVER</w:t>
      </w:r>
      <w:r>
        <w:rPr>
          <w:rFonts w:hint="eastAsia" w:ascii="宋体" w:hAnsi="宋体"/>
          <w:color w:val="000000"/>
          <w:sz w:val="24"/>
          <w:szCs w:val="24"/>
        </w:rPr>
        <w:t>功能，可通过浏览器访问网络硬盘录像机。</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提供日志（操作日志、报警日志、系统日志）记录与查询。</w:t>
      </w:r>
    </w:p>
    <w:p>
      <w:pPr>
        <w:ind w:firstLine="480" w:firstLineChars="200"/>
        <w:rPr>
          <w:rFonts w:ascii="宋体" w:hAnsi="宋体"/>
          <w:color w:val="000000"/>
          <w:sz w:val="24"/>
          <w:szCs w:val="24"/>
        </w:rPr>
      </w:pPr>
      <w:r>
        <w:rPr>
          <w:rFonts w:ascii="宋体" w:hAnsi="宋体"/>
          <w:color w:val="000000"/>
          <w:sz w:val="24"/>
          <w:szCs w:val="24"/>
        </w:rPr>
        <w:t></w:t>
      </w:r>
      <w:r>
        <w:rPr>
          <w:rFonts w:ascii="宋体" w:hAnsi="宋体"/>
          <w:color w:val="000000"/>
          <w:sz w:val="24"/>
          <w:szCs w:val="24"/>
        </w:rPr>
        <w:tab/>
      </w:r>
      <w:r>
        <w:rPr>
          <w:rFonts w:hint="eastAsia" w:ascii="宋体" w:hAnsi="宋体"/>
          <w:color w:val="000000"/>
          <w:sz w:val="24"/>
          <w:szCs w:val="24"/>
        </w:rPr>
        <w:t>硬盘数据储存至少应满足半年的时间要求。</w:t>
      </w:r>
    </w:p>
    <w:p>
      <w:pPr>
        <w:ind w:firstLine="480" w:firstLineChars="200"/>
        <w:rPr>
          <w:rFonts w:hint="eastAsia" w:ascii="宋体" w:hAnsi="宋体"/>
          <w:color w:val="000000"/>
          <w:sz w:val="24"/>
          <w:szCs w:val="24"/>
        </w:rPr>
      </w:pPr>
      <w:r>
        <w:rPr>
          <w:rFonts w:hint="eastAsia" w:ascii="宋体" w:hAnsi="宋体"/>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pPr>
        <w:ind w:firstLine="480" w:firstLineChars="200"/>
        <w:rPr>
          <w:rFonts w:hint="eastAsia" w:ascii="宋体" w:hAnsi="宋体"/>
          <w:color w:val="000000"/>
          <w:sz w:val="24"/>
          <w:szCs w:val="24"/>
        </w:rPr>
      </w:pPr>
      <w:r>
        <w:rPr>
          <w:rFonts w:hint="eastAsia" w:ascii="宋体" w:hAnsi="宋体"/>
          <w:color w:val="000000"/>
          <w:sz w:val="24"/>
          <w:szCs w:val="24"/>
        </w:rPr>
        <w:t>四、交货期、地点</w:t>
      </w:r>
    </w:p>
    <w:p>
      <w:pPr>
        <w:pStyle w:val="516"/>
        <w:ind w:firstLine="490"/>
        <w:rPr>
          <w:rFonts w:hint="eastAsia" w:ascii="宋体" w:hAnsi="宋体" w:cs="宋体"/>
          <w:color w:val="000000"/>
          <w:sz w:val="24"/>
          <w:szCs w:val="22"/>
        </w:rPr>
      </w:pPr>
      <w:r>
        <w:rPr>
          <w:rFonts w:hint="eastAsia" w:ascii="宋体" w:hAnsi="宋体"/>
          <w:color w:val="000000"/>
          <w:sz w:val="24"/>
        </w:rPr>
        <w:t>1、交货时间：</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pStyle w:val="516"/>
        <w:ind w:firstLine="490"/>
        <w:rPr>
          <w:rFonts w:hint="eastAsia" w:ascii="宋体" w:hAnsi="宋体"/>
          <w:color w:val="000000"/>
          <w:sz w:val="24"/>
        </w:rPr>
      </w:pPr>
      <w:r>
        <w:rPr>
          <w:rFonts w:hint="eastAsia" w:ascii="宋体" w:hAnsi="宋体"/>
          <w:color w:val="000000"/>
          <w:sz w:val="24"/>
        </w:rPr>
        <w:t>2、交货地点：甲方指定地点。</w:t>
      </w:r>
    </w:p>
    <w:p>
      <w:pPr>
        <w:ind w:firstLine="480" w:firstLineChars="200"/>
        <w:rPr>
          <w:rFonts w:hint="eastAsia" w:ascii="宋体" w:hAnsi="宋体"/>
          <w:color w:val="000000"/>
          <w:sz w:val="24"/>
          <w:szCs w:val="24"/>
        </w:rPr>
      </w:pPr>
      <w:r>
        <w:rPr>
          <w:rFonts w:hint="eastAsia" w:ascii="宋体" w:hAnsi="宋体"/>
          <w:color w:val="000000"/>
          <w:sz w:val="24"/>
          <w:szCs w:val="24"/>
        </w:rPr>
        <w:t>五、售后服务</w:t>
      </w:r>
    </w:p>
    <w:p>
      <w:pPr>
        <w:ind w:firstLine="480" w:firstLineChars="200"/>
        <w:rPr>
          <w:rFonts w:hint="eastAsia" w:ascii="宋体" w:hAnsi="宋体"/>
          <w:color w:val="000000"/>
          <w:sz w:val="24"/>
          <w:szCs w:val="24"/>
        </w:rPr>
      </w:pPr>
      <w:r>
        <w:rPr>
          <w:rFonts w:hint="eastAsia" w:ascii="宋体" w:hAnsi="宋体"/>
          <w:color w:val="000000"/>
          <w:sz w:val="24"/>
          <w:szCs w:val="24"/>
        </w:rPr>
        <w:t>1、质保期内，成交供应商在接到售后通知后，应在1小时内响应，并在24小时内负责修复到位。</w:t>
      </w:r>
    </w:p>
    <w:p>
      <w:pPr>
        <w:ind w:firstLine="480" w:firstLineChars="200"/>
        <w:rPr>
          <w:rFonts w:hint="eastAsia" w:ascii="宋体" w:hAnsi="宋体"/>
          <w:color w:val="000000"/>
          <w:sz w:val="24"/>
          <w:szCs w:val="24"/>
        </w:rPr>
      </w:pPr>
      <w:r>
        <w:rPr>
          <w:rFonts w:hint="eastAsia" w:ascii="宋体" w:hAnsi="宋体"/>
          <w:color w:val="000000"/>
          <w:sz w:val="24"/>
          <w:szCs w:val="24"/>
        </w:rPr>
        <w:t>2、本项目质保期为一年，从项目调试验收合格之日起算起。</w:t>
      </w:r>
    </w:p>
    <w:p>
      <w:pPr>
        <w:ind w:firstLine="480" w:firstLineChars="200"/>
        <w:rPr>
          <w:rFonts w:hint="eastAsia" w:ascii="宋体" w:hAnsi="宋体"/>
          <w:color w:val="000000"/>
          <w:sz w:val="24"/>
          <w:szCs w:val="24"/>
        </w:rPr>
      </w:pPr>
      <w:r>
        <w:rPr>
          <w:rFonts w:hint="eastAsia" w:ascii="宋体" w:hAnsi="宋体"/>
          <w:color w:val="000000"/>
          <w:sz w:val="24"/>
          <w:szCs w:val="24"/>
        </w:rPr>
        <w:t>六、付款方式</w:t>
      </w:r>
    </w:p>
    <w:p>
      <w:pPr>
        <w:pStyle w:val="263"/>
        <w:widowControl/>
        <w:jc w:val="left"/>
        <w:rPr>
          <w:rFonts w:ascii="宋体" w:hAnsi="宋体" w:cs="宋体"/>
          <w:kern w:val="0"/>
          <w:sz w:val="24"/>
        </w:rPr>
      </w:pPr>
      <w:r>
        <w:rPr>
          <w:rFonts w:hint="eastAsia" w:ascii="宋体" w:hAnsi="宋体"/>
          <w:color w:val="000000"/>
          <w:sz w:val="24"/>
          <w:szCs w:val="24"/>
        </w:rPr>
        <w:t xml:space="preserve">    </w:t>
      </w:r>
      <w:r>
        <w:rPr>
          <w:rFonts w:hint="eastAsia" w:ascii="宋体" w:hAnsi="宋体"/>
          <w:bCs/>
          <w:sz w:val="24"/>
        </w:rPr>
        <w:t>（1）</w:t>
      </w:r>
      <w:r>
        <w:rPr>
          <w:rFonts w:ascii="宋体" w:hAnsi="宋体" w:cs="宋体"/>
          <w:kern w:val="0"/>
          <w:sz w:val="24"/>
        </w:rPr>
        <w:t>设备送抵采购人指定的施工现场</w:t>
      </w:r>
      <w:r>
        <w:rPr>
          <w:rFonts w:hint="eastAsia" w:ascii="宋体" w:hAnsi="宋体" w:cs="宋体"/>
          <w:kern w:val="0"/>
          <w:sz w:val="24"/>
        </w:rPr>
        <w:t>并完成安装调试</w:t>
      </w:r>
      <w:r>
        <w:rPr>
          <w:rFonts w:ascii="宋体" w:hAnsi="宋体" w:cs="宋体"/>
          <w:kern w:val="0"/>
          <w:sz w:val="24"/>
        </w:rPr>
        <w:t>，并经供需双方检查合格后签署到货验收单，供方须于当月25日前开具所供货物的全额税务发票，需方在30天内支付发票金额的</w:t>
      </w:r>
      <w:r>
        <w:rPr>
          <w:rFonts w:hint="eastAsia" w:ascii="宋体" w:hAnsi="宋体" w:cs="宋体"/>
          <w:kern w:val="0"/>
          <w:sz w:val="24"/>
        </w:rPr>
        <w:t>9</w:t>
      </w:r>
      <w:r>
        <w:rPr>
          <w:rFonts w:ascii="宋体" w:hAnsi="宋体" w:cs="宋体"/>
          <w:kern w:val="0"/>
          <w:sz w:val="24"/>
        </w:rPr>
        <w:t>0%货款；</w:t>
      </w:r>
    </w:p>
    <w:p>
      <w:pPr>
        <w:pStyle w:val="263"/>
        <w:widowControl/>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（2）设备正常运行验收合格，质保期满后30天内支付所供货物发票金额的</w:t>
      </w:r>
      <w:r>
        <w:rPr>
          <w:rFonts w:hint="eastAsia" w:ascii="宋体" w:hAnsi="宋体" w:cs="宋体"/>
          <w:kern w:val="0"/>
          <w:sz w:val="24"/>
        </w:rPr>
        <w:t>1</w:t>
      </w:r>
      <w:r>
        <w:rPr>
          <w:rFonts w:ascii="宋体" w:hAnsi="宋体" w:cs="宋体"/>
          <w:kern w:val="0"/>
          <w:sz w:val="24"/>
        </w:rPr>
        <w:t xml:space="preserve">0%； </w:t>
      </w:r>
    </w:p>
    <w:p>
      <w:pPr>
        <w:rPr>
          <w:rFonts w:ascii="宋体" w:hAnsi="宋体"/>
          <w:color w:val="000000"/>
          <w:kern w:val="0"/>
          <w:sz w:val="24"/>
          <w:szCs w:val="24"/>
          <w:u w:val="none" w:color="000000"/>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spacing w:line="360" w:lineRule="auto"/>
        <w:jc w:val="left"/>
        <w:outlineLvl w:val="0"/>
        <w:rPr>
          <w:rFonts w:hint="eastAsia" w:ascii="宋体" w:hAnsi="宋体"/>
          <w:color w:val="000000"/>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left"/>
        <w:outlineLvl w:val="0"/>
        <w:rPr>
          <w:rFonts w:hint="eastAsia" w:cs="宋体"/>
          <w:sz w:val="24"/>
          <w:szCs w:val="24"/>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宜兴市公用建环资源循环利用有限公司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YXGYJT202108010</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7" w:name="OLE_LINK46"/>
            <w:r>
              <w:rPr>
                <w:rFonts w:hint="eastAsia" w:ascii="宋体" w:hAnsi="宋体" w:cs="宋体"/>
                <w:kern w:val="0"/>
                <w:sz w:val="24"/>
                <w:szCs w:val="24"/>
                <w:lang w:val="zh-CN"/>
              </w:rPr>
              <w:t>甲方（采购人）：（盖章）</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47"/>
            <w:r>
              <w:rPr>
                <w:rFonts w:hint="eastAsia" w:ascii="宋体" w:hAnsi="宋体" w:cs="宋体"/>
                <w:kern w:val="0"/>
                <w:sz w:val="24"/>
                <w:szCs w:val="24"/>
                <w:lang w:val="zh-CN"/>
              </w:rPr>
              <w:t>电话：</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50"/>
            <w:r>
              <w:rPr>
                <w:rFonts w:hint="eastAsia" w:ascii="宋体" w:hAnsi="宋体" w:cs="宋体"/>
                <w:kern w:val="0"/>
                <w:sz w:val="24"/>
                <w:szCs w:val="24"/>
                <w:lang w:val="zh-CN"/>
              </w:rPr>
              <w:t>开户银行：</w:t>
            </w:r>
            <w:bookmarkEnd w:id="79"/>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0" w:name="OLE_LINK52"/>
            <w:r>
              <w:rPr>
                <w:rFonts w:hint="eastAsia" w:ascii="宋体" w:hAnsi="宋体" w:cs="宋体"/>
                <w:kern w:val="0"/>
                <w:sz w:val="24"/>
                <w:szCs w:val="24"/>
                <w:lang w:val="zh-CN"/>
              </w:rPr>
              <w:t>账号：</w:t>
            </w:r>
            <w:bookmarkEnd w:id="80"/>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bCs/>
          <w:sz w:val="24"/>
        </w:rPr>
        <w:t>YXGYJT202108010</w:t>
      </w:r>
      <w:r>
        <w:rPr>
          <w:rFonts w:hint="eastAsia" w:ascii="宋体" w:hAnsi="宋体"/>
          <w:bCs/>
          <w:sz w:val="24"/>
        </w:rPr>
        <w:t>）</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24"/>
          <w:szCs w:val="24"/>
        </w:rPr>
        <w:t>根据需方要求。</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w:t>
      </w:r>
      <w:r>
        <w:rPr>
          <w:rFonts w:ascii="宋体" w:hAnsi="宋体"/>
          <w:color w:val="000000"/>
          <w:kern w:val="0"/>
          <w:sz w:val="24"/>
          <w:szCs w:val="24"/>
          <w:u w:val="none" w:color="000000"/>
        </w:rPr>
        <w:t>设备送抵采购人指定的施工现场</w:t>
      </w:r>
      <w:r>
        <w:rPr>
          <w:rFonts w:hint="eastAsia" w:ascii="宋体" w:hAnsi="宋体"/>
          <w:color w:val="000000"/>
          <w:kern w:val="0"/>
          <w:sz w:val="24"/>
          <w:szCs w:val="24"/>
          <w:u w:val="none" w:color="000000"/>
        </w:rPr>
        <w:t>并完成安装调试</w:t>
      </w:r>
      <w:r>
        <w:rPr>
          <w:rFonts w:ascii="宋体" w:hAnsi="宋体"/>
          <w:color w:val="000000"/>
          <w:kern w:val="0"/>
          <w:sz w:val="24"/>
          <w:szCs w:val="24"/>
          <w:u w:val="none" w:color="000000"/>
        </w:rPr>
        <w:t>，并经供需双方检查合格后签署到货验收单，供方须于当月25日前开具所供货物的全额税务发票，需方在30天内支付发票金额的</w:t>
      </w:r>
      <w:r>
        <w:rPr>
          <w:rFonts w:hint="eastAsia" w:ascii="宋体" w:hAnsi="宋体"/>
          <w:color w:val="000000"/>
          <w:kern w:val="0"/>
          <w:sz w:val="24"/>
          <w:szCs w:val="24"/>
          <w:u w:val="none" w:color="000000"/>
        </w:rPr>
        <w:t>9</w:t>
      </w:r>
      <w:r>
        <w:rPr>
          <w:rFonts w:ascii="宋体" w:hAnsi="宋体"/>
          <w:color w:val="000000"/>
          <w:kern w:val="0"/>
          <w:sz w:val="24"/>
          <w:szCs w:val="24"/>
          <w:u w:val="none" w:color="000000"/>
        </w:rPr>
        <w:t>0%货款；</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（2）设备正常运行验收合格，质保期满后30天内支付所供货物发票金额的</w:t>
      </w:r>
      <w:r>
        <w:rPr>
          <w:rFonts w:hint="eastAsia" w:ascii="宋体" w:hAnsi="宋体"/>
          <w:color w:val="000000"/>
          <w:kern w:val="0"/>
          <w:sz w:val="24"/>
          <w:szCs w:val="24"/>
          <w:u w:val="none" w:color="000000"/>
        </w:rPr>
        <w:t>1</w:t>
      </w:r>
      <w:r>
        <w:rPr>
          <w:rFonts w:ascii="宋体" w:hAnsi="宋体"/>
          <w:color w:val="000000"/>
          <w:kern w:val="0"/>
          <w:sz w:val="24"/>
          <w:szCs w:val="24"/>
          <w:u w:val="none" w:color="000000"/>
        </w:rPr>
        <w:t xml:space="preserve">0%； </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w:t>
      </w:r>
      <w:r>
        <w:rPr>
          <w:rFonts w:hint="eastAsia" w:ascii="宋体" w:hAnsi="宋体"/>
          <w:color w:val="000000"/>
          <w:kern w:val="0"/>
          <w:sz w:val="24"/>
          <w:szCs w:val="24"/>
          <w:u w:val="none" w:color="000000"/>
        </w:rPr>
        <w:t>3</w:t>
      </w:r>
      <w:r>
        <w:rPr>
          <w:rFonts w:ascii="宋体" w:hAnsi="宋体"/>
          <w:color w:val="000000"/>
          <w:kern w:val="0"/>
          <w:sz w:val="24"/>
          <w:szCs w:val="24"/>
          <w:u w:val="none" w:color="000000"/>
        </w:rPr>
        <w:t>）</w:t>
      </w:r>
      <w:r>
        <w:rPr>
          <w:rFonts w:hint="eastAsia" w:ascii="宋体" w:hAnsi="宋体"/>
          <w:color w:val="000000"/>
          <w:kern w:val="0"/>
          <w:sz w:val="24"/>
          <w:szCs w:val="24"/>
          <w:u w:val="none" w:color="000000"/>
        </w:rPr>
        <w:t>履约保证金的退还：履约保证金于验收合格之日起三十个工作日内无息退还。</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（4）付款方式：银行汇票或转帐支票。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s="宋体"/>
          <w:kern w:val="0"/>
          <w:sz w:val="24"/>
          <w:szCs w:val="22"/>
        </w:rPr>
        <w:t>（5）履约保</w:t>
      </w:r>
      <w:r>
        <w:rPr>
          <w:rFonts w:hint="eastAsia" w:ascii="宋体" w:hAnsi="宋体"/>
          <w:color w:val="000000"/>
          <w:kern w:val="0"/>
          <w:sz w:val="24"/>
          <w:szCs w:val="24"/>
          <w:u w:val="none" w:color="000000"/>
        </w:rPr>
        <w:t>证金的退还：履约保证金于合同结束</w:t>
      </w:r>
      <w:r>
        <w:rPr>
          <w:rFonts w:hint="eastAsia" w:ascii="宋体" w:hAnsi="宋体"/>
          <w:bCs/>
          <w:sz w:val="24"/>
          <w:szCs w:val="24"/>
        </w:rPr>
        <w:t>之日起三十个工作日内无息退还</w:t>
      </w:r>
      <w:r>
        <w:rPr>
          <w:rFonts w:hint="eastAsia" w:ascii="宋体" w:hAnsi="宋体"/>
          <w:color w:val="000000"/>
          <w:kern w:val="0"/>
          <w:sz w:val="24"/>
          <w:szCs w:val="24"/>
          <w:u w:val="none" w:color="000000"/>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color w:val="000000"/>
          <w:sz w:val="24"/>
          <w:szCs w:val="22"/>
        </w:rPr>
        <w:t>接到发货通知之日起</w:t>
      </w:r>
      <w:r>
        <w:rPr>
          <w:rFonts w:hint="eastAsia" w:ascii="宋体" w:hAnsi="宋体" w:cs="宋体"/>
          <w:color w:val="FF0000"/>
          <w:sz w:val="24"/>
          <w:szCs w:val="22"/>
        </w:rPr>
        <w:t>30天</w:t>
      </w:r>
      <w:r>
        <w:rPr>
          <w:rFonts w:hint="eastAsia" w:ascii="宋体" w:hAnsi="宋体" w:cs="宋体"/>
          <w:color w:val="000000"/>
          <w:sz w:val="24"/>
          <w:szCs w:val="22"/>
        </w:rPr>
        <w:t>内必须把货物送达需方指定的供货现场并完成安装调试。</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70"/>
    <w:bookmarkEnd w:id="71"/>
    <w:bookmarkEnd w:id="72"/>
    <w:bookmarkEnd w:id="73"/>
    <w:bookmarkEnd w:id="74"/>
    <w:bookmarkEnd w:id="75"/>
    <w:bookmarkEnd w:id="76"/>
    <w:p/>
    <w:p>
      <w:pPr>
        <w:spacing w:line="360" w:lineRule="auto"/>
        <w:jc w:val="center"/>
        <w:outlineLvl w:val="0"/>
        <w:rPr>
          <w:rFonts w:ascii="黑体" w:hAnsi="黑体" w:eastAsia="黑体"/>
          <w:sz w:val="28"/>
        </w:rPr>
      </w:pPr>
      <w:bookmarkStart w:id="81"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2" w:name="_Toc29240"/>
      <w:r>
        <w:rPr>
          <w:rFonts w:hint="eastAsia" w:ascii="宋体" w:hAnsi="宋体"/>
          <w:b/>
          <w:sz w:val="120"/>
          <w:szCs w:val="120"/>
        </w:rPr>
        <w:t>投标文件</w:t>
      </w:r>
      <w:bookmarkEnd w:id="82"/>
    </w:p>
    <w:p>
      <w:pPr>
        <w:jc w:val="center"/>
        <w:rPr>
          <w:rFonts w:ascii="宋体" w:hAnsi="宋体"/>
          <w:b/>
          <w:sz w:val="32"/>
          <w:szCs w:val="32"/>
        </w:rPr>
      </w:pPr>
      <w:bookmarkStart w:id="83" w:name="_Toc2400"/>
      <w:r>
        <w:rPr>
          <w:rFonts w:hint="eastAsia" w:ascii="宋体" w:hAnsi="宋体"/>
          <w:b/>
          <w:sz w:val="32"/>
          <w:szCs w:val="32"/>
        </w:rPr>
        <w:t>项目编号：</w:t>
      </w:r>
      <w:bookmarkEnd w:id="83"/>
      <w:r>
        <w:rPr>
          <w:rFonts w:ascii="宋体" w:hAnsi="宋体"/>
          <w:b/>
          <w:sz w:val="32"/>
          <w:szCs w:val="32"/>
        </w:rPr>
        <w:t xml:space="preserve">YXGYJT202108010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4" w:name="_Toc10010"/>
      <w:r>
        <w:rPr>
          <w:rFonts w:hint="eastAsia" w:ascii="宋体" w:hAnsi="宋体"/>
          <w:b/>
          <w:sz w:val="32"/>
          <w:szCs w:val="32"/>
        </w:rPr>
        <w:t>项目名称：</w:t>
      </w:r>
      <w:bookmarkEnd w:id="84"/>
      <w:bookmarkStart w:id="85" w:name="_Toc8670"/>
      <w:r>
        <w:rPr>
          <w:rFonts w:hint="eastAsia" w:ascii="宋体" w:hAnsi="宋体"/>
          <w:b/>
          <w:sz w:val="32"/>
          <w:szCs w:val="32"/>
          <w:u w:val="single"/>
        </w:rPr>
        <w:t>宜兴市公用建环资源循环利用有限公司100吨地磅采购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5"/>
    </w:p>
    <w:p>
      <w:pPr>
        <w:rPr>
          <w:rFonts w:ascii="宋体" w:hAnsi="宋体"/>
        </w:rPr>
      </w:pPr>
      <w:bookmarkStart w:id="86"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6"/>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7" w:name="_Toc1179"/>
      <w:r>
        <w:rPr>
          <w:rFonts w:hint="eastAsia" w:ascii="宋体" w:hAnsi="宋体"/>
          <w:b/>
          <w:sz w:val="32"/>
          <w:szCs w:val="32"/>
        </w:rPr>
        <w:t>日期： 年 月 日</w:t>
      </w:r>
      <w:bookmarkEnd w:id="87"/>
    </w:p>
    <w:p>
      <w:pPr>
        <w:rPr>
          <w:rFonts w:ascii="宋体"/>
          <w:b/>
          <w:bCs/>
          <w:sz w:val="24"/>
          <w:szCs w:val="24"/>
        </w:rPr>
      </w:pPr>
      <w:bookmarkStart w:id="88" w:name="_Toc24602"/>
      <w:r>
        <w:rPr>
          <w:rFonts w:hint="eastAsia" w:ascii="黑体" w:hAnsi="宋体" w:eastAsia="黑体"/>
          <w:bCs/>
          <w:sz w:val="24"/>
          <w:szCs w:val="24"/>
        </w:rPr>
        <w:br w:type="page"/>
      </w:r>
      <w:bookmarkStart w:id="89" w:name="OLE_LINK24"/>
      <w:r>
        <w:rPr>
          <w:rFonts w:hint="eastAsia" w:ascii="黑体" w:hAnsi="宋体" w:eastAsia="黑体"/>
          <w:bCs/>
          <w:sz w:val="28"/>
          <w:szCs w:val="28"/>
        </w:rPr>
        <w:t>（一）投标函（格式）：</w:t>
      </w:r>
    </w:p>
    <w:bookmarkEnd w:id="89"/>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0" w:name="OLE_LINK185"/>
      <w:r>
        <w:rPr>
          <w:rFonts w:hint="eastAsia" w:ascii="宋体" w:hAnsi="宋体"/>
          <w:bCs/>
          <w:sz w:val="24"/>
          <w:lang w:val="zh-CN"/>
        </w:rPr>
        <w:t xml:space="preserve">    致</w:t>
      </w:r>
      <w:bookmarkEnd w:id="90"/>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100吨地磅</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1"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2" w:name="OLE_LINK34"/>
      <w:bookmarkStart w:id="93"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4" w:name="OLE_LINK28"/>
      <w:r>
        <w:rPr>
          <w:rFonts w:hint="eastAsia" w:ascii="宋体" w:hAnsi="宋体"/>
          <w:bCs/>
          <w:sz w:val="24"/>
          <w:lang w:val="zh-CN"/>
        </w:rPr>
        <w:t>投标人公章</w:t>
      </w:r>
      <w:bookmarkEnd w:id="94"/>
      <w:r>
        <w:rPr>
          <w:rFonts w:hint="eastAsia" w:ascii="宋体" w:hAnsi="宋体"/>
          <w:bCs/>
          <w:sz w:val="24"/>
          <w:lang w:val="zh-CN"/>
        </w:rPr>
        <w:t>：</w:t>
      </w:r>
    </w:p>
    <w:bookmarkEnd w:id="92"/>
    <w:bookmarkEnd w:id="93"/>
    <w:p>
      <w:pPr>
        <w:spacing w:line="480" w:lineRule="exact"/>
        <w:rPr>
          <w:rFonts w:ascii="黑体" w:hAnsi="宋体" w:eastAsia="黑体"/>
          <w:bCs/>
          <w:sz w:val="28"/>
          <w:szCs w:val="28"/>
        </w:rPr>
      </w:pPr>
      <w:bookmarkStart w:id="95" w:name="OLE_LINK146"/>
      <w:r>
        <w:rPr>
          <w:rFonts w:ascii="黑体" w:hAnsi="宋体" w:eastAsia="黑体"/>
          <w:bCs/>
          <w:sz w:val="24"/>
          <w:szCs w:val="24"/>
        </w:rPr>
        <w:br w:type="page"/>
      </w:r>
      <w:r>
        <w:rPr>
          <w:rFonts w:hint="eastAsia" w:ascii="黑体" w:hAnsi="宋体" w:eastAsia="黑体"/>
          <w:bCs/>
          <w:sz w:val="28"/>
          <w:szCs w:val="28"/>
        </w:rPr>
        <w:t>（二）报价文件：</w:t>
      </w:r>
      <w:bookmarkEnd w:id="95"/>
    </w:p>
    <w:bookmarkEnd w:id="88"/>
    <w:p>
      <w:pPr>
        <w:spacing w:before="156" w:beforeLines="50" w:after="156" w:afterLines="50"/>
        <w:jc w:val="center"/>
        <w:rPr>
          <w:rFonts w:hint="eastAsia" w:ascii="黑体" w:eastAsia="黑体"/>
          <w:bCs/>
          <w:sz w:val="30"/>
          <w:szCs w:val="30"/>
        </w:rPr>
      </w:pPr>
      <w:bookmarkStart w:id="96" w:name="_Toc32423"/>
      <w:bookmarkStart w:id="97" w:name="OLE_LINK4"/>
      <w:bookmarkStart w:id="98" w:name="OLE_LINK32"/>
      <w:r>
        <w:rPr>
          <w:rFonts w:hint="eastAsia" w:ascii="黑体" w:eastAsia="黑体"/>
          <w:bCs/>
          <w:sz w:val="30"/>
          <w:szCs w:val="30"/>
        </w:rPr>
        <w:t>开标一览表</w:t>
      </w:r>
      <w:bookmarkEnd w:id="96"/>
      <w:bookmarkEnd w:id="97"/>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851"/>
        <w:gridCol w:w="396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序号</w:t>
            </w:r>
          </w:p>
        </w:tc>
        <w:tc>
          <w:tcPr>
            <w:tcW w:w="1701"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数量</w:t>
            </w:r>
          </w:p>
        </w:tc>
        <w:tc>
          <w:tcPr>
            <w:tcW w:w="3969"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规格参数</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单价</w:t>
            </w:r>
          </w:p>
        </w:tc>
        <w:tc>
          <w:tcPr>
            <w:tcW w:w="113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701" w:type="dxa"/>
            <w:noWrap w:val="0"/>
            <w:vAlign w:val="center"/>
          </w:tcPr>
          <w:p>
            <w:pPr>
              <w:ind w:left="-1" w:leftChars="-30" w:hanging="62" w:hangingChars="26"/>
              <w:jc w:val="center"/>
              <w:rPr>
                <w:rFonts w:hint="eastAsia" w:ascii="宋体" w:hAnsi="宋体"/>
                <w:color w:val="000000"/>
                <w:sz w:val="24"/>
                <w:szCs w:val="24"/>
              </w:rPr>
            </w:pPr>
            <w:r>
              <w:rPr>
                <w:rFonts w:hint="eastAsia" w:ascii="宋体" w:hAnsi="宋体"/>
                <w:color w:val="000000"/>
                <w:sz w:val="24"/>
                <w:szCs w:val="24"/>
              </w:rPr>
              <w:t>数字式电子汽车衡</w:t>
            </w:r>
          </w:p>
        </w:tc>
        <w:tc>
          <w:tcPr>
            <w:tcW w:w="851" w:type="dxa"/>
            <w:noWrap w:val="0"/>
            <w:vAlign w:val="center"/>
          </w:tcPr>
          <w:p>
            <w:pPr>
              <w:spacing w:line="360" w:lineRule="auto"/>
              <w:ind w:left="-3" w:leftChars="-26" w:hanging="52" w:hangingChars="22"/>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w:t>
            </w:r>
            <w:r>
              <w:rPr>
                <w:rFonts w:ascii="仿宋_GB2312" w:eastAsia="仿宋_GB2312"/>
                <w:sz w:val="24"/>
                <w:szCs w:val="32"/>
              </w:rPr>
              <w:t>10</w:t>
            </w:r>
            <w:r>
              <w:rPr>
                <w:rFonts w:hint="eastAsia" w:ascii="仿宋_GB2312" w:eastAsia="仿宋_GB2312"/>
                <w:sz w:val="24"/>
                <w:szCs w:val="32"/>
              </w:rPr>
              <w:t>0吨；</w:t>
            </w:r>
          </w:p>
          <w:p>
            <w:pPr>
              <w:rPr>
                <w:rFonts w:hint="eastAsia" w:ascii="仿宋_GB2312" w:eastAsia="仿宋_GB2312"/>
                <w:sz w:val="24"/>
                <w:szCs w:val="32"/>
              </w:rPr>
            </w:pPr>
            <w:r>
              <w:rPr>
                <w:rFonts w:hint="eastAsia" w:ascii="仿宋_GB2312" w:eastAsia="仿宋_GB2312"/>
                <w:sz w:val="24"/>
                <w:szCs w:val="32"/>
              </w:rPr>
              <w:t>2、台面规格（长*宽）1</w:t>
            </w:r>
            <w:r>
              <w:rPr>
                <w:rFonts w:ascii="仿宋_GB2312" w:eastAsia="仿宋_GB2312"/>
                <w:sz w:val="24"/>
                <w:szCs w:val="32"/>
              </w:rPr>
              <w:t>8</w:t>
            </w:r>
            <w:r>
              <w:rPr>
                <w:rFonts w:hint="eastAsia" w:ascii="仿宋_GB2312" w:eastAsia="仿宋_GB2312"/>
                <w:sz w:val="24"/>
                <w:szCs w:val="32"/>
              </w:rPr>
              <w:t>m*3</w:t>
            </w:r>
            <w:r>
              <w:rPr>
                <w:rFonts w:ascii="仿宋_GB2312" w:eastAsia="仿宋_GB2312"/>
                <w:sz w:val="24"/>
                <w:szCs w:val="32"/>
              </w:rPr>
              <w:t>.4</w:t>
            </w:r>
            <w:r>
              <w:rPr>
                <w:rFonts w:hint="eastAsia" w:ascii="仿宋_GB2312" w:eastAsia="仿宋_GB2312"/>
                <w:sz w:val="24"/>
                <w:szCs w:val="32"/>
              </w:rPr>
              <w:t>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701" w:type="dxa"/>
            <w:noWrap w:val="0"/>
            <w:vAlign w:val="center"/>
          </w:tcPr>
          <w:p>
            <w:pPr>
              <w:rPr>
                <w:rFonts w:hint="eastAsia" w:ascii="宋体" w:hAnsi="宋体"/>
                <w:color w:val="000000"/>
                <w:sz w:val="24"/>
                <w:szCs w:val="24"/>
              </w:rPr>
            </w:pPr>
            <w:r>
              <w:rPr>
                <w:rFonts w:hint="eastAsia" w:ascii="宋体" w:hAnsi="宋体"/>
                <w:color w:val="000000"/>
                <w:sz w:val="24"/>
                <w:szCs w:val="24"/>
              </w:rPr>
              <w:t>无人值守系统(含控制计算机、打印机)</w:t>
            </w:r>
          </w:p>
        </w:tc>
        <w:tc>
          <w:tcPr>
            <w:tcW w:w="851" w:type="dxa"/>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1套</w:t>
            </w:r>
          </w:p>
        </w:tc>
        <w:tc>
          <w:tcPr>
            <w:tcW w:w="3969" w:type="dxa"/>
            <w:vMerge w:val="continue"/>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3</w:t>
            </w:r>
          </w:p>
        </w:tc>
        <w:tc>
          <w:tcPr>
            <w:tcW w:w="1701" w:type="dxa"/>
            <w:noWrap w:val="0"/>
            <w:vAlign w:val="center"/>
          </w:tcPr>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2套地磅联网</w:t>
            </w:r>
          </w:p>
          <w:p>
            <w:pPr>
              <w:ind w:left="0" w:leftChars="-50" w:hanging="105" w:hangingChars="44"/>
              <w:jc w:val="center"/>
              <w:rPr>
                <w:rFonts w:hint="eastAsia" w:ascii="宋体" w:hAnsi="宋体"/>
                <w:color w:val="000000"/>
                <w:sz w:val="24"/>
                <w:szCs w:val="24"/>
              </w:rPr>
            </w:pPr>
            <w:r>
              <w:rPr>
                <w:rFonts w:hint="eastAsia" w:ascii="宋体" w:hAnsi="宋体"/>
                <w:color w:val="000000"/>
                <w:sz w:val="24"/>
                <w:szCs w:val="24"/>
              </w:rPr>
              <w:t>控制改造</w:t>
            </w:r>
          </w:p>
        </w:tc>
        <w:tc>
          <w:tcPr>
            <w:tcW w:w="851" w:type="dxa"/>
            <w:noWrap w:val="0"/>
            <w:vAlign w:val="center"/>
          </w:tcPr>
          <w:p>
            <w:pPr>
              <w:ind w:left="1" w:leftChars="-51" w:hanging="108" w:hangingChars="45"/>
              <w:jc w:val="center"/>
              <w:rPr>
                <w:rFonts w:hint="eastAsia" w:ascii="宋体" w:hAnsi="宋体"/>
                <w:color w:val="000000"/>
                <w:sz w:val="24"/>
                <w:szCs w:val="24"/>
              </w:rPr>
            </w:pPr>
            <w:r>
              <w:rPr>
                <w:rFonts w:hint="eastAsia" w:ascii="宋体" w:hAnsi="宋体"/>
                <w:color w:val="000000"/>
                <w:sz w:val="24"/>
                <w:szCs w:val="24"/>
              </w:rPr>
              <w:t>1项</w:t>
            </w:r>
          </w:p>
        </w:tc>
        <w:tc>
          <w:tcPr>
            <w:tcW w:w="3969"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c>
          <w:tcPr>
            <w:tcW w:w="1134"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noWrap w:val="0"/>
            <w:vAlign w:val="center"/>
          </w:tcPr>
          <w:p>
            <w:pPr>
              <w:jc w:val="center"/>
              <w:rPr>
                <w:rFonts w:hint="eastAsia" w:ascii="仿宋_GB2312" w:eastAsia="仿宋_GB2312"/>
                <w:sz w:val="24"/>
                <w:szCs w:val="24"/>
              </w:rPr>
            </w:pPr>
          </w:p>
        </w:tc>
        <w:tc>
          <w:tcPr>
            <w:tcW w:w="2552" w:type="dxa"/>
            <w:gridSpan w:val="2"/>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总计</w:t>
            </w:r>
          </w:p>
        </w:tc>
        <w:tc>
          <w:tcPr>
            <w:tcW w:w="6237" w:type="dxa"/>
            <w:gridSpan w:val="3"/>
            <w:noWrap w:val="0"/>
            <w:vAlign w:val="center"/>
          </w:tcPr>
          <w:p>
            <w:pPr>
              <w:rPr>
                <w:rFonts w:hint="eastAsia" w:ascii="仿宋_GB2312" w:eastAsia="仿宋_GB2312"/>
                <w:sz w:val="24"/>
                <w:szCs w:val="32"/>
              </w:rPr>
            </w:pPr>
          </w:p>
        </w:tc>
      </w:tr>
    </w:tbl>
    <w:p>
      <w:pPr>
        <w:ind w:left="1"/>
        <w:jc w:val="center"/>
        <w:rPr>
          <w:rFonts w:hint="eastAsia" w:ascii="宋体" w:hAnsi="宋体"/>
          <w:sz w:val="24"/>
          <w:szCs w:val="24"/>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8"/>
      <w:bookmarkStart w:id="99" w:name="OLE_LINK147"/>
    </w:p>
    <w:p>
      <w:pPr>
        <w:ind w:left="1"/>
        <w:jc w:val="center"/>
        <w:rPr>
          <w:rFonts w:ascii="宋体" w:hAnsi="宋体"/>
          <w:bCs/>
          <w:sz w:val="24"/>
        </w:rPr>
      </w:pPr>
    </w:p>
    <w:bookmarkEnd w:id="99"/>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YXGYJT202108010</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YXGYJT202108010</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YXGYJT202108010</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1"/>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YXGYJT202108010</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5、投标保证金转账记录；</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6、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cs="宋体"/>
          <w:sz w:val="24"/>
          <w:szCs w:val="24"/>
        </w:rPr>
        <w:t>7、供应商须通过ISO9000系列质量管理体系，ISO14000系列环境管理体系认证，GB/T28001-2011系列职业健康安全管理体系认证，提供扫描件；</w:t>
      </w:r>
    </w:p>
    <w:p>
      <w:pPr>
        <w:tabs>
          <w:tab w:val="left" w:pos="0"/>
          <w:tab w:val="left" w:pos="945"/>
          <w:tab w:val="left" w:pos="1155"/>
        </w:tabs>
        <w:spacing w:line="360" w:lineRule="auto"/>
        <w:rPr>
          <w:rFonts w:hint="eastAsia" w:ascii="宋体" w:hAnsi="宋体" w:cs="宋体"/>
          <w:sz w:val="24"/>
          <w:szCs w:val="24"/>
        </w:rPr>
      </w:pPr>
      <w:r>
        <w:rPr>
          <w:rFonts w:hint="eastAsia" w:ascii="宋体" w:hAnsi="宋体" w:cs="宋体"/>
          <w:sz w:val="24"/>
          <w:szCs w:val="24"/>
        </w:rPr>
        <w:t xml:space="preserve">    8、须提供汽车衡生产许可证、汽车衡传感器生产许可证、汽车衡仪表生产许可证；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YXGYJT202108010</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（五）材料设备品牌承诺表（格式）：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YXGYJT202108010</w:t>
      </w:r>
      <w:r>
        <w:rPr>
          <w:rFonts w:hint="eastAsia" w:ascii="宋体" w:hAnsi="宋体"/>
          <w:sz w:val="24"/>
          <w:szCs w:val="21"/>
          <w:lang w:val="zh-CN"/>
        </w:rPr>
        <w:t xml:space="preserve"> </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投标人承诺</w:t>
            </w:r>
          </w:p>
          <w:p>
            <w:pPr>
              <w:pStyle w:val="522"/>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台面钢材生产厂家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上海宝钢、马鞍山钢铁、舞阳钢铁</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电脑配置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联想，惠普，戴尔（处理器不低于I5，内存不低于8G）</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针式打印机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得实，惠普，爱普生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传感器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申克，富林泰克，梅特勒-托利多，HBM</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3" w:name="_Toc448822646"/>
      <w:bookmarkStart w:id="104"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3"/>
      <w:bookmarkEnd w:id="104"/>
    </w:p>
    <w:p>
      <w:pPr>
        <w:rPr>
          <w:rFonts w:ascii="宋体" w:hAnsi="宋体"/>
          <w:color w:val="000000"/>
          <w:szCs w:val="21"/>
        </w:rPr>
      </w:pPr>
    </w:p>
    <w:p>
      <w:pPr>
        <w:jc w:val="center"/>
        <w:rPr>
          <w:rFonts w:hint="eastAsia" w:ascii="宋体" w:hAnsi="宋体"/>
          <w:sz w:val="24"/>
          <w:szCs w:val="21"/>
          <w:lang w:val="zh-CN"/>
        </w:rPr>
      </w:pPr>
      <w:r>
        <w:rPr>
          <w:rFonts w:hint="eastAsia" w:ascii="宋体" w:hAnsi="宋体"/>
          <w:sz w:val="24"/>
          <w:szCs w:val="21"/>
          <w:lang w:val="zh-CN"/>
        </w:rPr>
        <w:t>投标人签名（盖章）：                               日期：</w:t>
      </w: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黑体" w:hAnsi="宋体" w:eastAsia="黑体"/>
          <w:sz w:val="32"/>
          <w:szCs w:val="32"/>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100吨地磅采购</w:t>
      </w:r>
    </w:p>
    <w:p>
      <w:pPr>
        <w:jc w:val="center"/>
        <w:rPr>
          <w:rFonts w:hint="eastAsia" w:ascii="宋体" w:hAnsi="宋体"/>
          <w:b/>
          <w:bCs/>
          <w:sz w:val="44"/>
          <w:szCs w:val="44"/>
        </w:rPr>
      </w:pPr>
      <w:r>
        <w:rPr>
          <w:rFonts w:hint="eastAsia" w:ascii="黑体" w:hAnsi="黑体" w:eastAsia="黑体"/>
          <w:bCs/>
          <w:sz w:val="44"/>
          <w:szCs w:val="44"/>
        </w:rPr>
        <w:t>招标公告</w:t>
      </w:r>
    </w:p>
    <w:p>
      <w:pP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因工作需要，现组织宜兴市公用建环资源循环利用有限公司对100吨地磅采购进行招标。现欢迎符合相关条件的供应商参加投标。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YXGYJT202108010</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100吨地磅</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30万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hint="eastAsia" w:ascii="仿宋_GB2312" w:eastAsia="仿宋_GB2312"/>
          <w:sz w:val="28"/>
          <w:szCs w:val="28"/>
        </w:rPr>
      </w:pPr>
      <w:r>
        <w:rPr>
          <w:rFonts w:hint="eastAsia" w:ascii="仿宋_GB2312" w:eastAsia="仿宋_GB2312"/>
          <w:sz w:val="28"/>
          <w:szCs w:val="28"/>
        </w:rPr>
        <w:t xml:space="preserve">    ⑥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rPr>
          <w:rFonts w:hint="eastAsia" w:ascii="仿宋_GB2312" w:eastAsia="仿宋_GB2312"/>
          <w:sz w:val="28"/>
          <w:szCs w:val="28"/>
        </w:rPr>
      </w:pPr>
      <w:r>
        <w:rPr>
          <w:rFonts w:hint="eastAsia" w:ascii="仿宋_GB2312" w:eastAsia="仿宋_GB2312"/>
          <w:sz w:val="28"/>
          <w:szCs w:val="28"/>
        </w:rPr>
        <w:t xml:space="preserve">    ⑦供应商须通过ISO9000系列质量管理体系，ISO14000系列环境管理体系认证，GB/T28001-2011系列职业健康安全管理体系认证，提供扫描件；</w:t>
      </w:r>
    </w:p>
    <w:p>
      <w:pPr>
        <w:rPr>
          <w:rFonts w:hint="eastAsia" w:ascii="仿宋_GB2312" w:eastAsia="仿宋_GB2312"/>
          <w:sz w:val="28"/>
          <w:szCs w:val="28"/>
        </w:rPr>
      </w:pPr>
      <w:r>
        <w:rPr>
          <w:rFonts w:hint="eastAsia" w:ascii="仿宋_GB2312" w:eastAsia="仿宋_GB2312"/>
          <w:sz w:val="28"/>
          <w:szCs w:val="28"/>
        </w:rPr>
        <w:t xml:space="preserve">    ⑧须提供汽车衡生产许可证、汽车衡传感器生产许可证、汽车衡仪表生产许可证；</w:t>
      </w:r>
      <w:r>
        <w:rPr>
          <w:rFonts w:ascii="仿宋_GB2312" w:eastAsia="仿宋_GB2312"/>
          <w:sz w:val="28"/>
          <w:szCs w:val="28"/>
        </w:rPr>
        <w:t>如为代理商，需提供</w:t>
      </w:r>
      <w:r>
        <w:rPr>
          <w:rFonts w:hint="eastAsia" w:ascii="仿宋_GB2312" w:eastAsia="仿宋_GB2312"/>
          <w:sz w:val="28"/>
          <w:szCs w:val="28"/>
        </w:rPr>
        <w:t>响应文件的</w:t>
      </w:r>
      <w:r>
        <w:rPr>
          <w:rFonts w:ascii="仿宋_GB2312" w:eastAsia="仿宋_GB2312"/>
          <w:sz w:val="28"/>
          <w:szCs w:val="28"/>
        </w:rPr>
        <w:t>响应品牌的生产许可证</w:t>
      </w:r>
      <w:r>
        <w:rPr>
          <w:rFonts w:hint="eastAsia" w:ascii="仿宋_GB2312" w:eastAsia="仿宋_GB2312"/>
          <w:sz w:val="28"/>
          <w:szCs w:val="28"/>
        </w:rPr>
        <w:t xml:space="preserve">，提供扫描件。    </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2021年9月7日9:</w:t>
      </w:r>
      <w:r>
        <w:rPr>
          <w:rFonts w:hint="eastAsia" w:ascii="仿宋_GB2312" w:eastAsia="仿宋_GB2312"/>
          <w:sz w:val="28"/>
          <w:szCs w:val="28"/>
        </w:rPr>
        <w:t>40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r>
        <w:rPr>
          <w:rFonts w:hint="eastAsia" w:ascii="宋体" w:hAnsi="宋体" w:cs="宋体"/>
          <w:b/>
          <w:sz w:val="24"/>
          <w:szCs w:val="24"/>
        </w:rPr>
        <w:t>（邮件标题必须注明所投项目名称及投标单位名称，否则将视作为无效投标）</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2021年8月31日-2021年9月6日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5" w:name="OLE_LINK29"/>
            <w:bookmarkEnd w:id="105"/>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hint="eastAsia"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2021年8月31日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00" w:usb1="00000000" w:usb2="00000033" w:usb3="00000000" w:csb0="0008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23"/>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55A4"/>
    <w:rsid w:val="00027A8A"/>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EB7"/>
    <w:rsid w:val="00552B9D"/>
    <w:rsid w:val="00554A82"/>
    <w:rsid w:val="0056381F"/>
    <w:rsid w:val="00563CCD"/>
    <w:rsid w:val="00572186"/>
    <w:rsid w:val="00575902"/>
    <w:rsid w:val="00584C7A"/>
    <w:rsid w:val="005A35C4"/>
    <w:rsid w:val="005B3469"/>
    <w:rsid w:val="005B4FA7"/>
    <w:rsid w:val="005B6B3B"/>
    <w:rsid w:val="005C1367"/>
    <w:rsid w:val="005C176E"/>
    <w:rsid w:val="005C2860"/>
    <w:rsid w:val="005C6322"/>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FBB"/>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42A8"/>
    <w:rsid w:val="00AB3185"/>
    <w:rsid w:val="00AC2325"/>
    <w:rsid w:val="00AC4069"/>
    <w:rsid w:val="00AC6C6F"/>
    <w:rsid w:val="00AD04E4"/>
    <w:rsid w:val="00AD0AA0"/>
    <w:rsid w:val="00AD499B"/>
    <w:rsid w:val="00AD5B6A"/>
    <w:rsid w:val="00B00209"/>
    <w:rsid w:val="00B02D95"/>
    <w:rsid w:val="00B032CC"/>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7CDD"/>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73C8"/>
    <w:rsid w:val="01BC5A23"/>
    <w:rsid w:val="088C2CFA"/>
    <w:rsid w:val="0A3B412B"/>
    <w:rsid w:val="0C9C7B88"/>
    <w:rsid w:val="0E6024DC"/>
    <w:rsid w:val="1009308B"/>
    <w:rsid w:val="168A3D2C"/>
    <w:rsid w:val="1908229C"/>
    <w:rsid w:val="1A7B546E"/>
    <w:rsid w:val="215A19BE"/>
    <w:rsid w:val="23EC2F12"/>
    <w:rsid w:val="2AED2CDD"/>
    <w:rsid w:val="2BC11C46"/>
    <w:rsid w:val="2D161B30"/>
    <w:rsid w:val="30D41037"/>
    <w:rsid w:val="312E356C"/>
    <w:rsid w:val="31497D8B"/>
    <w:rsid w:val="319E5533"/>
    <w:rsid w:val="32044185"/>
    <w:rsid w:val="33060EBA"/>
    <w:rsid w:val="3CEA44D4"/>
    <w:rsid w:val="3E9876E2"/>
    <w:rsid w:val="3E987883"/>
    <w:rsid w:val="3EE424B4"/>
    <w:rsid w:val="40574364"/>
    <w:rsid w:val="420B6FB7"/>
    <w:rsid w:val="42EC32E2"/>
    <w:rsid w:val="43443D9B"/>
    <w:rsid w:val="437171AF"/>
    <w:rsid w:val="45156357"/>
    <w:rsid w:val="45ED31E3"/>
    <w:rsid w:val="46D51EE4"/>
    <w:rsid w:val="4A032880"/>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8AC29C7"/>
    <w:rsid w:val="79C14999"/>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qFormat="1"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rPr>
      <w:rFonts w:ascii="Calibri" w:hAnsi="Calibri"/>
    </w:r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qFormat/>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qFormat/>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qFormat/>
    <w:locked/>
    <w:uiPriority w:val="39"/>
    <w:pPr>
      <w:tabs>
        <w:tab w:val="right" w:leader="dot" w:pos="9060"/>
      </w:tabs>
      <w:spacing w:line="396" w:lineRule="auto"/>
      <w:ind w:left="210"/>
      <w:jc w:val="left"/>
    </w:pPr>
    <w:rPr>
      <w:smallCaps/>
      <w:sz w:val="20"/>
    </w:rPr>
  </w:style>
  <w:style w:type="paragraph" w:styleId="65">
    <w:name w:val="toc 9"/>
    <w:basedOn w:val="1"/>
    <w:next w:val="1"/>
    <w:qFormat/>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qFormat/>
    <w:uiPriority w:val="0"/>
    <w:pPr>
      <w:spacing w:beforeLines="10" w:line="312" w:lineRule="auto"/>
      <w:ind w:left="380" w:leftChars="380"/>
    </w:pPr>
    <w:rPr>
      <w:rFonts w:ascii="Arial" w:hAnsi="Arial"/>
    </w:rPr>
  </w:style>
  <w:style w:type="paragraph" w:styleId="68">
    <w:name w:val="HTML Preformatted"/>
    <w:basedOn w:val="1"/>
    <w:link w:val="123"/>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qFormat/>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qFormat/>
    <w:uiPriority w:val="0"/>
  </w:style>
  <w:style w:type="character" w:styleId="81">
    <w:name w:val="FollowedHyperlink"/>
    <w:qFormat/>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qFormat/>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1 悬挂缩进: 4 字符 段前: 0.1 行，小五 Char Char"/>
    <w:link w:val="128"/>
    <w:uiPriority w:val="0"/>
    <w:rPr>
      <w:kern w:val="2"/>
      <w:sz w:val="18"/>
    </w:rPr>
  </w:style>
  <w:style w:type="paragraph" w:customStyle="1" w:styleId="128">
    <w:name w:val="样式1 悬挂缩进: 4 字符 段前: 0.1 行，小五"/>
    <w:basedOn w:val="1"/>
    <w:link w:val="127"/>
    <w:uiPriority w:val="0"/>
    <w:pPr>
      <w:spacing w:beforeLines="10" w:line="312" w:lineRule="auto"/>
      <w:ind w:left="400" w:leftChars="400"/>
    </w:pPr>
    <w:rPr>
      <w:rFonts w:ascii="Calibri" w:hAnsi="Calibri"/>
      <w:sz w:val="18"/>
    </w:rPr>
  </w:style>
  <w:style w:type="character" w:customStyle="1" w:styleId="129">
    <w:name w:val="样式1 正文（首行缩进2字） Char + 首行缩进:  2 字符 段前: 0 行 Char Char"/>
    <w:link w:val="130"/>
    <w:uiPriority w:val="0"/>
    <w:rPr>
      <w:rFonts w:hAnsi="Arial"/>
      <w:kern w:val="2"/>
      <w:sz w:val="21"/>
    </w:rPr>
  </w:style>
  <w:style w:type="paragraph" w:customStyle="1" w:styleId="130">
    <w:name w:val="样式1 正文（首行缩进2字） Char + 首行缩进:  2 字符 段前: 0 行"/>
    <w:basedOn w:val="1"/>
    <w:next w:val="1"/>
    <w:link w:val="129"/>
    <w:uiPriority w:val="0"/>
    <w:pPr>
      <w:spacing w:line="276" w:lineRule="auto"/>
      <w:ind w:firstLine="420" w:firstLineChars="200"/>
    </w:pPr>
    <w:rPr>
      <w:rFonts w:ascii="Calibri" w:hAnsi="Arial"/>
    </w:rPr>
  </w:style>
  <w:style w:type="character" w:customStyle="1" w:styleId="131">
    <w:name w:val="hps"/>
    <w:uiPriority w:val="0"/>
  </w:style>
  <w:style w:type="character" w:customStyle="1" w:styleId="132">
    <w:name w:val="纯文本 Char1"/>
    <w:semiHidden/>
    <w:uiPriority w:val="99"/>
    <w:rPr>
      <w:rFonts w:ascii="宋体" w:hAnsi="Courier New" w:cs="Courier New"/>
      <w:kern w:val="2"/>
      <w:sz w:val="21"/>
      <w:szCs w:val="21"/>
    </w:rPr>
  </w:style>
  <w:style w:type="character" w:customStyle="1" w:styleId="133">
    <w:name w:val="正文文本 3 Char1"/>
    <w:semiHidden/>
    <w:uiPriority w:val="99"/>
    <w:rPr>
      <w:rFonts w:ascii="Times New Roman" w:hAnsi="Times New Roman"/>
      <w:kern w:val="2"/>
      <w:sz w:val="16"/>
      <w:szCs w:val="16"/>
    </w:rPr>
  </w:style>
  <w:style w:type="character" w:customStyle="1" w:styleId="134">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5">
    <w:name w:val="H2 Char"/>
    <w:uiPriority w:val="0"/>
    <w:rPr>
      <w:rFonts w:ascii="Arial" w:hAnsi="Arial" w:eastAsia="黑体"/>
      <w:b/>
      <w:kern w:val="2"/>
      <w:sz w:val="32"/>
      <w:lang w:val="en-US" w:eastAsia="zh-CN"/>
    </w:rPr>
  </w:style>
  <w:style w:type="character" w:customStyle="1" w:styleId="136">
    <w:name w:val="样式 正文（首行缩进两字） Char + 加粗 Char Char"/>
    <w:uiPriority w:val="0"/>
    <w:rPr>
      <w:rFonts w:eastAsia="宋体"/>
      <w:b/>
      <w:kern w:val="2"/>
      <w:sz w:val="21"/>
      <w:lang w:val="en-US" w:eastAsia="zh-CN"/>
    </w:rPr>
  </w:style>
  <w:style w:type="character" w:customStyle="1" w:styleId="137">
    <w:name w:val="style251"/>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uiPriority w:val="0"/>
    <w:rPr>
      <w:kern w:val="2"/>
      <w:sz w:val="21"/>
    </w:rPr>
  </w:style>
  <w:style w:type="paragraph" w:customStyle="1" w:styleId="139">
    <w:name w:val="样式 正文缩进正文缩进 Char正文（首行缩进两字） Char Char正文（首行缩进两字） Char1正文（首行缩进两...1"/>
    <w:basedOn w:val="1"/>
    <w:link w:val="138"/>
    <w:uiPriority w:val="0"/>
    <w:pPr>
      <w:spacing w:beforeLines="10" w:line="312" w:lineRule="auto"/>
      <w:ind w:firstLine="200" w:firstLineChars="200"/>
    </w:pPr>
    <w:rPr>
      <w:rFonts w:ascii="Calibri" w:hAnsi="Calibri"/>
    </w:rPr>
  </w:style>
  <w:style w:type="character" w:customStyle="1" w:styleId="140">
    <w:name w:val="样式 样式 Times New Roman 首行缩进:  0.74 厘米 段前: 0行 行距1.15 + (符号) Tim... Char Char"/>
    <w:link w:val="141"/>
    <w:uiPriority w:val="0"/>
  </w:style>
  <w:style w:type="paragraph" w:customStyle="1" w:styleId="141">
    <w:name w:val="样式 样式 Times New Roman 首行缩进:  0.74 厘米 段前: 0行 行距1.15 + (符号) Tim..."/>
    <w:basedOn w:val="142"/>
    <w:link w:val="140"/>
    <w:uiPriority w:val="0"/>
  </w:style>
  <w:style w:type="paragraph" w:customStyle="1" w:styleId="142">
    <w:name w:val="样式 Times New Roman 首行缩进:  0.74 厘米 段前: 0.1 行 行距1.15"/>
    <w:basedOn w:val="1"/>
    <w:link w:val="143"/>
    <w:uiPriority w:val="0"/>
    <w:pPr>
      <w:spacing w:line="276" w:lineRule="auto"/>
      <w:ind w:firstLine="420"/>
    </w:pPr>
    <w:rPr>
      <w:rFonts w:ascii="Calibri" w:hAnsi="宋体"/>
    </w:rPr>
  </w:style>
  <w:style w:type="character" w:customStyle="1" w:styleId="143">
    <w:name w:val="样式 Times New Roman 首行缩进:  0.74 厘米 段前: 0.1 行 行距1.15 Char Char"/>
    <w:link w:val="142"/>
    <w:uiPriority w:val="0"/>
    <w:rPr>
      <w:rFonts w:hAnsi="宋体"/>
      <w:kern w:val="2"/>
      <w:sz w:val="21"/>
    </w:rPr>
  </w:style>
  <w:style w:type="character" w:customStyle="1" w:styleId="144">
    <w:name w:val="个人撰写风格"/>
    <w:uiPriority w:val="0"/>
    <w:rPr>
      <w:rFonts w:ascii="Arial" w:hAnsi="Arial" w:eastAsia="宋体"/>
      <w:color w:val="auto"/>
      <w:sz w:val="20"/>
    </w:rPr>
  </w:style>
  <w:style w:type="character" w:customStyle="1" w:styleId="145">
    <w:name w:val="着重强调"/>
    <w:uiPriority w:val="0"/>
    <w:rPr>
      <w:rFonts w:ascii="Arial" w:hAnsi="Arial"/>
      <w:b/>
      <w:spacing w:val="-4"/>
    </w:rPr>
  </w:style>
  <w:style w:type="character" w:customStyle="1" w:styleId="146">
    <w:name w:val="正文文本 Char1 Char"/>
    <w:uiPriority w:val="0"/>
    <w:rPr>
      <w:rFonts w:ascii="Arial" w:hAnsi="Arial" w:eastAsia="宋体"/>
      <w:kern w:val="2"/>
      <w:sz w:val="18"/>
      <w:lang w:val="en-US" w:eastAsia="zh-CN"/>
    </w:rPr>
  </w:style>
  <w:style w:type="character" w:customStyle="1" w:styleId="147">
    <w:name w:val="样式 a) Char Char"/>
    <w:link w:val="148"/>
    <w:qFormat/>
    <w:uiPriority w:val="0"/>
    <w:rPr>
      <w:kern w:val="2"/>
      <w:sz w:val="21"/>
    </w:rPr>
  </w:style>
  <w:style w:type="paragraph" w:customStyle="1" w:styleId="148">
    <w:name w:val="样式 a)"/>
    <w:basedOn w:val="1"/>
    <w:next w:val="1"/>
    <w:link w:val="147"/>
    <w:uiPriority w:val="0"/>
    <w:pPr>
      <w:tabs>
        <w:tab w:val="left" w:pos="780"/>
      </w:tabs>
      <w:spacing w:beforeLines="10" w:line="312" w:lineRule="auto"/>
      <w:ind w:firstLine="200" w:firstLineChars="200"/>
    </w:pPr>
    <w:rPr>
      <w:rFonts w:ascii="Calibri" w:hAnsi="Calibri"/>
    </w:rPr>
  </w:style>
  <w:style w:type="character" w:customStyle="1" w:styleId="149">
    <w:name w:val="Reference"/>
    <w:uiPriority w:val="0"/>
    <w:rPr>
      <w:rFonts w:ascii="Arial" w:hAnsi="Arial"/>
      <w:sz w:val="20"/>
      <w:lang w:val="en-US" w:eastAsia="zh-CN"/>
    </w:rPr>
  </w:style>
  <w:style w:type="character" w:customStyle="1" w:styleId="150">
    <w:name w:val="Lincer表格样式 Char Char"/>
    <w:link w:val="151"/>
    <w:uiPriority w:val="0"/>
    <w:rPr>
      <w:kern w:val="2"/>
      <w:sz w:val="21"/>
    </w:rPr>
  </w:style>
  <w:style w:type="paragraph" w:customStyle="1" w:styleId="151">
    <w:name w:val="Lincer表格样式"/>
    <w:basedOn w:val="1"/>
    <w:link w:val="150"/>
    <w:uiPriority w:val="0"/>
    <w:pPr>
      <w:ind w:left="344" w:hanging="344" w:hangingChars="164"/>
    </w:pPr>
    <w:rPr>
      <w:rFonts w:ascii="Calibri" w:hAnsi="Calibri"/>
    </w:rPr>
  </w:style>
  <w:style w:type="character" w:customStyle="1" w:styleId="152">
    <w:name w:val="SoDA Field"/>
    <w:uiPriority w:val="0"/>
    <w:rPr>
      <w:color w:val="0000FF"/>
    </w:rPr>
  </w:style>
  <w:style w:type="character" w:customStyle="1" w:styleId="153">
    <w:name w:val="short_text1"/>
    <w:uiPriority w:val="0"/>
    <w:rPr>
      <w:sz w:val="29"/>
    </w:rPr>
  </w:style>
  <w:style w:type="character" w:customStyle="1" w:styleId="154">
    <w:name w:val="样式 样式 样式 标题 2 + 段前: 0.1 行 + 段前: 0.1 行 + Times New Roman Char Char"/>
    <w:link w:val="155"/>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uiPriority w:val="0"/>
    <w:pPr>
      <w:tabs>
        <w:tab w:val="left" w:pos="210"/>
        <w:tab w:val="left" w:pos="360"/>
        <w:tab w:val="left" w:pos="500"/>
      </w:tabs>
      <w:spacing w:beforeLines="50" w:afterLines="50" w:line="240" w:lineRule="auto"/>
    </w:pPr>
    <w:rPr>
      <w:rFonts w:ascii="Calibri" w:hAnsi="Calibri" w:eastAsia="黑体"/>
      <w:lang w:val="en-US" w:eastAsia="zh-CN"/>
    </w:rPr>
  </w:style>
  <w:style w:type="paragraph" w:customStyle="1" w:styleId="15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uiPriority w:val="0"/>
    <w:rPr>
      <w:rFonts w:eastAsia="黑体"/>
      <w:b/>
      <w:kern w:val="2"/>
      <w:sz w:val="21"/>
      <w:lang w:val="en-US" w:eastAsia="zh-CN"/>
    </w:rPr>
  </w:style>
  <w:style w:type="character" w:customStyle="1" w:styleId="159">
    <w:name w:val="表头 Char Char"/>
    <w:uiPriority w:val="0"/>
    <w:rPr>
      <w:rFonts w:eastAsia="黑体"/>
      <w:kern w:val="2"/>
      <w:sz w:val="21"/>
      <w:szCs w:val="21"/>
      <w:lang w:val="en-US" w:eastAsia="zh-CN" w:bidi="ar-SA"/>
    </w:rPr>
  </w:style>
  <w:style w:type="character" w:customStyle="1" w:styleId="160">
    <w:name w:val="样式 标题 2 + 五号 Char Char"/>
    <w:uiPriority w:val="0"/>
    <w:rPr>
      <w:rFonts w:eastAsia="黑体"/>
      <w:bCs/>
      <w:kern w:val="2"/>
      <w:sz w:val="21"/>
      <w:szCs w:val="21"/>
      <w:lang w:val="en-US" w:eastAsia="zh-CN" w:bidi="ar-SA"/>
    </w:rPr>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样式1 Char"/>
    <w:link w:val="164"/>
    <w:locked/>
    <w:uiPriority w:val="0"/>
    <w:rPr>
      <w:rFonts w:ascii="Times New Roman" w:hAnsi="Times New Roman"/>
      <w:kern w:val="2"/>
      <w:sz w:val="28"/>
      <w:szCs w:val="24"/>
    </w:rPr>
  </w:style>
  <w:style w:type="paragraph" w:customStyle="1" w:styleId="164">
    <w:name w:val="样式1"/>
    <w:basedOn w:val="1"/>
    <w:link w:val="163"/>
    <w:uiPriority w:val="0"/>
    <w:rPr>
      <w:sz w:val="28"/>
      <w:szCs w:val="24"/>
    </w:rPr>
  </w:style>
  <w:style w:type="character" w:customStyle="1" w:styleId="165">
    <w:name w:val="发布"/>
    <w:uiPriority w:val="0"/>
    <w:rPr>
      <w:rFonts w:ascii="黑体" w:eastAsia="黑体"/>
      <w:spacing w:val="22"/>
      <w:w w:val="100"/>
      <w:position w:val="3"/>
      <w:sz w:val="28"/>
    </w:rPr>
  </w:style>
  <w:style w:type="character" w:customStyle="1" w:styleId="166">
    <w:name w:val="表格条文首行缩进 Char Char"/>
    <w:link w:val="167"/>
    <w:uiPriority w:val="0"/>
    <w:rPr>
      <w:rFonts w:ascii="宋体" w:hAnsi="宋体"/>
      <w:sz w:val="24"/>
    </w:rPr>
  </w:style>
  <w:style w:type="paragraph" w:customStyle="1" w:styleId="167">
    <w:name w:val="表格条文首行缩进"/>
    <w:basedOn w:val="1"/>
    <w:link w:val="166"/>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uiPriority w:val="0"/>
    <w:rPr>
      <w:kern w:val="2"/>
      <w:sz w:val="21"/>
    </w:rPr>
  </w:style>
  <w:style w:type="paragraph" w:customStyle="1" w:styleId="169">
    <w:name w:val="样式1正文（首行缩进两字） Char"/>
    <w:basedOn w:val="1"/>
    <w:next w:val="1"/>
    <w:link w:val="168"/>
    <w:uiPriority w:val="0"/>
    <w:pPr>
      <w:topLinePunct/>
      <w:snapToGrid w:val="0"/>
      <w:spacing w:before="40" w:after="40"/>
      <w:ind w:firstLine="396" w:firstLineChars="200"/>
    </w:pPr>
    <w:rPr>
      <w:rFonts w:ascii="Calibri" w:hAnsi="Calibri"/>
    </w:rPr>
  </w:style>
  <w:style w:type="character" w:customStyle="1" w:styleId="170">
    <w:name w:val="Char Char2"/>
    <w:uiPriority w:val="0"/>
    <w:rPr>
      <w:rFonts w:ascii="Arial" w:hAnsi="Arial" w:eastAsia="宋体"/>
      <w:kern w:val="2"/>
      <w:sz w:val="21"/>
      <w:lang w:val="en-US" w:eastAsia="zh-CN"/>
    </w:rPr>
  </w:style>
  <w:style w:type="character" w:customStyle="1" w:styleId="171">
    <w:name w:val="样式 a首行缩进:  2 字符 段前: 0 行 Char Char"/>
    <w:link w:val="172"/>
    <w:uiPriority w:val="0"/>
    <w:rPr>
      <w:sz w:val="21"/>
    </w:rPr>
  </w:style>
  <w:style w:type="paragraph" w:customStyle="1" w:styleId="172">
    <w:name w:val="样式 a首行缩进:  2 字符 段前: 0 行"/>
    <w:basedOn w:val="1"/>
    <w:link w:val="171"/>
    <w:uiPriority w:val="0"/>
    <w:pPr>
      <w:adjustRightInd w:val="0"/>
      <w:spacing w:afterLines="50"/>
      <w:jc w:val="left"/>
      <w:textAlignment w:val="baseline"/>
    </w:pPr>
    <w:rPr>
      <w:rFonts w:ascii="Calibri" w:hAnsi="Calibri"/>
      <w:kern w:val="0"/>
    </w:rPr>
  </w:style>
  <w:style w:type="character" w:customStyle="1" w:styleId="173">
    <w:name w:val="朱2 Char Char"/>
    <w:link w:val="174"/>
    <w:uiPriority w:val="0"/>
  </w:style>
  <w:style w:type="paragraph" w:customStyle="1" w:styleId="174">
    <w:name w:val="朱2"/>
    <w:basedOn w:val="175"/>
    <w:link w:val="173"/>
    <w:uiPriority w:val="0"/>
    <w:pPr>
      <w:topLinePunct/>
      <w:adjustRightInd w:val="0"/>
      <w:spacing w:line="312" w:lineRule="exact"/>
    </w:pPr>
  </w:style>
  <w:style w:type="paragraph" w:customStyle="1" w:styleId="175">
    <w:name w:val="样式2"/>
    <w:basedOn w:val="164"/>
    <w:link w:val="176"/>
    <w:uiPriority w:val="0"/>
  </w:style>
  <w:style w:type="character" w:customStyle="1" w:styleId="176">
    <w:name w:val="样式2 Char Char"/>
    <w:link w:val="175"/>
    <w:uiPriority w:val="0"/>
    <w:rPr>
      <w:rFonts w:ascii="Times New Roman" w:hAnsi="Times New Roman"/>
      <w:kern w:val="2"/>
      <w:sz w:val="28"/>
      <w:szCs w:val="24"/>
    </w:rPr>
  </w:style>
  <w:style w:type="character" w:customStyle="1" w:styleId="177">
    <w:name w:val="样式 正文（首行缩进两字） Char + Times New Roman Char Char"/>
    <w:link w:val="178"/>
    <w:uiPriority w:val="0"/>
  </w:style>
  <w:style w:type="paragraph" w:customStyle="1" w:styleId="178">
    <w:name w:val="样式 正文（首行缩进两字） Char + Times New Roman"/>
    <w:basedOn w:val="169"/>
    <w:link w:val="177"/>
    <w:uiPriority w:val="0"/>
    <w:pPr>
      <w:ind w:firstLine="0" w:firstLineChars="0"/>
      <w:jc w:val="center"/>
    </w:pPr>
    <w:rPr>
      <w:rFonts w:ascii="Calibri" w:hAnsi="Calibri"/>
    </w:rPr>
  </w:style>
  <w:style w:type="character" w:customStyle="1" w:styleId="179">
    <w:name w:val="_标准条文 Char Char"/>
    <w:link w:val="180"/>
    <w:uiPriority w:val="0"/>
    <w:rPr>
      <w:rFonts w:ascii="Arial" w:hAnsi="Arial"/>
      <w:kern w:val="2"/>
      <w:sz w:val="21"/>
    </w:rPr>
  </w:style>
  <w:style w:type="paragraph" w:customStyle="1" w:styleId="180">
    <w:name w:val="_标准条文"/>
    <w:basedOn w:val="1"/>
    <w:link w:val="179"/>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uiPriority w:val="0"/>
    <w:rPr>
      <w:rFonts w:eastAsia="黑体"/>
      <w:sz w:val="21"/>
    </w:rPr>
  </w:style>
  <w:style w:type="paragraph" w:customStyle="1" w:styleId="182">
    <w:name w:val="样式 a首行缩进:  0 字符 段前: 0 行 + 黑体"/>
    <w:basedOn w:val="172"/>
    <w:link w:val="181"/>
    <w:uiPriority w:val="0"/>
    <w:rPr>
      <w:rFonts w:eastAsia="黑体"/>
    </w:rPr>
  </w:style>
  <w:style w:type="character" w:customStyle="1" w:styleId="183">
    <w:name w:val="个人答复风格"/>
    <w:uiPriority w:val="0"/>
    <w:rPr>
      <w:rFonts w:ascii="Arial" w:hAnsi="Arial" w:eastAsia="宋体"/>
      <w:color w:val="auto"/>
      <w:sz w:val="20"/>
    </w:rPr>
  </w:style>
  <w:style w:type="character" w:customStyle="1" w:styleId="184">
    <w:name w:val="上标"/>
    <w:uiPriority w:val="0"/>
    <w:rPr>
      <w:b/>
      <w:vertAlign w:val="superscript"/>
    </w:rPr>
  </w:style>
  <w:style w:type="character" w:customStyle="1" w:styleId="185">
    <w:name w:val="msoins"/>
    <w:uiPriority w:val="0"/>
    <w:rPr>
      <w:u w:val="single"/>
    </w:rPr>
  </w:style>
  <w:style w:type="character" w:customStyle="1" w:styleId="186">
    <w:name w:val="样式 宋体"/>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uiPriority w:val="0"/>
  </w:style>
  <w:style w:type="paragraph" w:customStyle="1" w:styleId="188">
    <w:name w:val="样式 样式 正文缩进正文缩进 Char正文（首行缩进两字） Char Char正文（首行缩进两字） Char1正文（首行缩进两...."/>
    <w:basedOn w:val="139"/>
    <w:link w:val="187"/>
    <w:uiPriority w:val="0"/>
    <w:pPr>
      <w:spacing w:line="300" w:lineRule="auto"/>
    </w:pPr>
    <w:rPr>
      <w:rFonts w:ascii="Calibri" w:hAnsi="Calibri"/>
    </w:rPr>
  </w:style>
  <w:style w:type="character" w:customStyle="1" w:styleId="189">
    <w:name w:val="列表编号 2 Char Char"/>
    <w:uiPriority w:val="0"/>
    <w:rPr>
      <w:rFonts w:ascii="Arial" w:hAnsi="Arial" w:eastAsia="宋体"/>
      <w:sz w:val="18"/>
      <w:lang w:val="en-US" w:eastAsia="zh-CN"/>
    </w:rPr>
  </w:style>
  <w:style w:type="character" w:customStyle="1" w:styleId="190">
    <w:name w:val="标语"/>
    <w:uiPriority w:val="0"/>
    <w:rPr>
      <w:i/>
      <w:spacing w:val="-6"/>
      <w:sz w:val="24"/>
    </w:rPr>
  </w:style>
  <w:style w:type="character" w:customStyle="1" w:styleId="191">
    <w:name w:val="附录三 Char Char"/>
    <w:link w:val="192"/>
    <w:uiPriority w:val="0"/>
    <w:rPr>
      <w:rFonts w:ascii="E-F1" w:eastAsia="黑体"/>
      <w:kern w:val="21"/>
      <w:sz w:val="21"/>
    </w:rPr>
  </w:style>
  <w:style w:type="paragraph" w:customStyle="1" w:styleId="192">
    <w:name w:val="附录三"/>
    <w:basedOn w:val="1"/>
    <w:link w:val="191"/>
    <w:uiPriority w:val="0"/>
    <w:pPr>
      <w:tabs>
        <w:tab w:val="center" w:pos="4706"/>
        <w:tab w:val="right" w:pos="9072"/>
      </w:tabs>
      <w:spacing w:before="120" w:after="60" w:line="312" w:lineRule="exact"/>
    </w:pPr>
    <w:rPr>
      <w:rFonts w:ascii="E-F1" w:hAnsi="Calibri" w:eastAsia="黑体"/>
      <w:kern w:val="21"/>
    </w:rPr>
  </w:style>
  <w:style w:type="character" w:customStyle="1" w:styleId="193">
    <w:name w:val="标题 1 Char Char"/>
    <w:uiPriority w:val="0"/>
    <w:rPr>
      <w:rFonts w:eastAsia="黑体"/>
      <w:kern w:val="44"/>
      <w:sz w:val="28"/>
      <w:szCs w:val="28"/>
      <w:lang w:val="en-US" w:eastAsia="zh-CN" w:bidi="ar-SA"/>
    </w:rPr>
  </w:style>
  <w:style w:type="character" w:customStyle="1" w:styleId="194">
    <w:name w:val="正文1 Char"/>
    <w:link w:val="195"/>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uiPriority w:val="0"/>
    <w:rPr>
      <w:rFonts w:ascii="Arial" w:hAnsi="Arial" w:eastAsia="黑体"/>
      <w:kern w:val="2"/>
      <w:sz w:val="21"/>
    </w:rPr>
  </w:style>
  <w:style w:type="paragraph" w:customStyle="1" w:styleId="197">
    <w:name w:val="附录标题2"/>
    <w:basedOn w:val="4"/>
    <w:next w:val="73"/>
    <w:link w:val="196"/>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uiPriority w:val="0"/>
    <w:rPr>
      <w:rFonts w:eastAsia="宋体"/>
      <w:b/>
      <w:kern w:val="2"/>
      <w:sz w:val="32"/>
      <w:lang w:val="en-US" w:eastAsia="zh-CN"/>
    </w:rPr>
  </w:style>
  <w:style w:type="character" w:customStyle="1" w:styleId="199">
    <w:name w:val="样式 标题 1 + 加粗 Char Char"/>
    <w:uiPriority w:val="0"/>
    <w:rPr>
      <w:rFonts w:eastAsia="黑体"/>
      <w:b/>
      <w:bCs/>
      <w:kern w:val="44"/>
      <w:sz w:val="28"/>
      <w:szCs w:val="28"/>
      <w:lang w:val="en-US" w:eastAsia="zh-CN" w:bidi="ar-SA"/>
    </w:rPr>
  </w:style>
  <w:style w:type="character" w:customStyle="1" w:styleId="200">
    <w:name w:val="H1 Char"/>
    <w:uiPriority w:val="0"/>
    <w:rPr>
      <w:rFonts w:ascii="Arial" w:hAnsi="Arial" w:eastAsia="黑体"/>
      <w:kern w:val="21"/>
      <w:sz w:val="21"/>
      <w:lang w:val="en-US" w:eastAsia="zh-CN"/>
    </w:rPr>
  </w:style>
  <w:style w:type="character" w:customStyle="1" w:styleId="201">
    <w:name w:val="段 Char Char"/>
    <w:link w:val="202"/>
    <w:uiPriority w:val="0"/>
    <w:rPr>
      <w:rFonts w:ascii="宋体" w:hAnsi="Times New Roman"/>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样式 标题 2 + 段前: 0.1 行 Char Char"/>
    <w:link w:val="204"/>
    <w:uiPriority w:val="0"/>
    <w:rPr>
      <w:b/>
      <w:kern w:val="2"/>
      <w:sz w:val="21"/>
    </w:rPr>
  </w:style>
  <w:style w:type="paragraph" w:customStyle="1" w:styleId="204">
    <w:name w:val="样式 标题 2 + 段前: 0.1 行"/>
    <w:basedOn w:val="4"/>
    <w:link w:val="203"/>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205">
    <w:name w:val="科东_正文 Char Char"/>
    <w:link w:val="206"/>
    <w:uiPriority w:val="0"/>
    <w:rPr>
      <w:kern w:val="2"/>
      <w:sz w:val="24"/>
    </w:rPr>
  </w:style>
  <w:style w:type="paragraph" w:customStyle="1" w:styleId="206">
    <w:name w:val="科东_正文"/>
    <w:basedOn w:val="1"/>
    <w:link w:val="205"/>
    <w:qFormat/>
    <w:uiPriority w:val="0"/>
    <w:pPr>
      <w:spacing w:line="360" w:lineRule="auto"/>
      <w:ind w:firstLine="200" w:firstLineChars="200"/>
    </w:pPr>
    <w:rPr>
      <w:rFonts w:ascii="Calibri" w:hAnsi="Calibri"/>
      <w:sz w:val="24"/>
    </w:rPr>
  </w:style>
  <w:style w:type="character" w:customStyle="1" w:styleId="207">
    <w:name w:val="short_text"/>
    <w:uiPriority w:val="0"/>
  </w:style>
  <w:style w:type="character" w:customStyle="1" w:styleId="208">
    <w:name w:val="样式2 Char"/>
    <w:uiPriority w:val="0"/>
    <w:rPr>
      <w:rFonts w:ascii="EU-F1" w:eastAsia="黑体"/>
      <w:color w:val="000000"/>
      <w:kern w:val="44"/>
      <w:sz w:val="21"/>
      <w:szCs w:val="21"/>
      <w:lang w:val="en-US" w:eastAsia="zh-CN" w:bidi="ar-SA"/>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三级无标题条"/>
    <w:basedOn w:val="1"/>
    <w:uiPriority w:val="0"/>
    <w:pPr>
      <w:numPr>
        <w:ilvl w:val="4"/>
        <w:numId w:val="1"/>
      </w:numPr>
    </w:pPr>
    <w:rPr>
      <w:b/>
    </w:rPr>
  </w:style>
  <w:style w:type="paragraph" w:customStyle="1" w:styleId="212">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13">
    <w:name w:val="表文"/>
    <w:basedOn w:val="1"/>
    <w:uiPriority w:val="0"/>
    <w:pPr>
      <w:topLinePunct/>
      <w:spacing w:before="40" w:after="40"/>
    </w:pPr>
    <w:rPr>
      <w:sz w:val="18"/>
      <w:szCs w:val="18"/>
    </w:rPr>
  </w:style>
  <w:style w:type="paragraph" w:customStyle="1" w:styleId="21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uiPriority w:val="0"/>
    <w:pPr>
      <w:topLinePunct/>
      <w:snapToGrid w:val="0"/>
      <w:spacing w:before="160" w:after="60"/>
      <w:jc w:val="center"/>
    </w:pPr>
  </w:style>
  <w:style w:type="paragraph" w:customStyle="1" w:styleId="216">
    <w:name w:val="发布部门"/>
    <w:next w:val="202"/>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17">
    <w:name w:val="样式3"/>
    <w:basedOn w:val="164"/>
    <w:uiPriority w:val="0"/>
  </w:style>
  <w:style w:type="paragraph" w:customStyle="1" w:styleId="218">
    <w:name w:val="样式 样式 首行缩进:  0.77 厘米 段前: 0.1 行 + 首行缩进:  2 字符 段前: 0.1 行"/>
    <w:basedOn w:val="1"/>
    <w:uiPriority w:val="0"/>
    <w:pPr>
      <w:spacing w:line="276" w:lineRule="auto"/>
      <w:ind w:firstLine="200" w:firstLineChars="200"/>
    </w:pPr>
  </w:style>
  <w:style w:type="paragraph" w:customStyle="1" w:styleId="219">
    <w:name w:val="Normal_0_0"/>
    <w:qFormat/>
    <w:uiPriority w:val="0"/>
    <w:rPr>
      <w:rFonts w:ascii="黑体" w:hAnsi="黑体" w:eastAsia="黑体" w:cs="Times New Roman"/>
      <w:b/>
      <w:sz w:val="32"/>
      <w:szCs w:val="24"/>
      <w:lang w:val="en-US" w:eastAsia="zh-CN" w:bidi="ar-SA"/>
    </w:rPr>
  </w:style>
  <w:style w:type="paragraph" w:customStyle="1" w:styleId="220">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21">
    <w:name w:val="其他发布部门"/>
    <w:basedOn w:val="216"/>
    <w:uiPriority w:val="0"/>
    <w:pPr>
      <w:spacing w:line="0" w:lineRule="atLeast"/>
    </w:pPr>
    <w:rPr>
      <w:rFonts w:ascii="黑体" w:eastAsia="黑体"/>
      <w:b w:val="0"/>
    </w:rPr>
  </w:style>
  <w:style w:type="paragraph" w:customStyle="1" w:styleId="222">
    <w:name w:val="样式 正文（首行缩进两字） Char + 首行缩进:  2 字符"/>
    <w:basedOn w:val="169"/>
    <w:uiPriority w:val="0"/>
    <w:pPr>
      <w:spacing w:afterLines="10"/>
      <w:ind w:firstLine="200"/>
      <w:jc w:val="center"/>
    </w:pPr>
    <w:rPr>
      <w:b/>
    </w:rPr>
  </w:style>
  <w:style w:type="paragraph" w:customStyle="1" w:styleId="223">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uiPriority w:val="0"/>
    <w:pPr>
      <w:spacing w:beforeLines="10" w:line="312" w:lineRule="auto"/>
    </w:pPr>
    <w:rPr>
      <w:bCs w:val="0"/>
    </w:rPr>
  </w:style>
  <w:style w:type="paragraph" w:customStyle="1" w:styleId="225">
    <w:name w:val="样式 样式 标题 2 + 段前: 0.5 行 段后: 0.5 行 + 首行缩进:  2 字符 段前: 0.5 行 段后: 0..."/>
    <w:basedOn w:val="226"/>
    <w:uiPriority w:val="0"/>
  </w:style>
  <w:style w:type="paragraph" w:customStyle="1" w:styleId="226">
    <w:name w:val="样式 标题 2 + 段前: 0.5 行 段后: 0.5 行"/>
    <w:basedOn w:val="4"/>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uiPriority w:val="0"/>
    <w:pPr>
      <w:spacing w:line="360" w:lineRule="auto"/>
      <w:ind w:firstLine="200" w:firstLineChars="200"/>
    </w:pPr>
    <w:rPr>
      <w:rFonts w:ascii="宋体" w:hAnsi="宋体"/>
      <w:kern w:val="0"/>
      <w:sz w:val="24"/>
    </w:rPr>
  </w:style>
  <w:style w:type="paragraph" w:customStyle="1" w:styleId="228">
    <w:name w:val="Char Char"/>
    <w:basedOn w:val="1"/>
    <w:uiPriority w:val="0"/>
    <w:rPr>
      <w:szCs w:val="21"/>
    </w:rPr>
  </w:style>
  <w:style w:type="paragraph" w:customStyle="1" w:styleId="229">
    <w:name w:val="样式 正文（首行缩进两字） Char + 黑色 首行缩进:  2 字符 段前: 0.1 行"/>
    <w:basedOn w:val="169"/>
    <w:uiPriority w:val="0"/>
    <w:pPr>
      <w:spacing w:before="24" w:afterLines="10"/>
      <w:ind w:firstLine="200"/>
    </w:pPr>
    <w:rPr>
      <w:color w:val="000000"/>
    </w:rPr>
  </w:style>
  <w:style w:type="paragraph" w:customStyle="1" w:styleId="230">
    <w:name w:val="批注主题 Char Char"/>
    <w:basedOn w:val="26"/>
    <w:next w:val="26"/>
    <w:uiPriority w:val="0"/>
    <w:rPr>
      <w:b/>
      <w:bCs/>
    </w:rPr>
  </w:style>
  <w:style w:type="paragraph" w:customStyle="1" w:styleId="23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uiPriority w:val="0"/>
    <w:pPr>
      <w:numPr>
        <w:ilvl w:val="3"/>
        <w:numId w:val="2"/>
      </w:numPr>
      <w:tabs>
        <w:tab w:val="left" w:pos="-1080"/>
      </w:tabs>
      <w:outlineLvl w:val="3"/>
    </w:pPr>
  </w:style>
  <w:style w:type="paragraph" w:customStyle="1" w:styleId="236">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41">
    <w:name w:val="正文格式"/>
    <w:basedOn w:val="1"/>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uiPriority w:val="0"/>
  </w:style>
  <w:style w:type="paragraph" w:customStyle="1" w:styleId="243">
    <w:name w:val="样式 正文文本 2 + 段前: 0.1 行"/>
    <w:basedOn w:val="66"/>
    <w:uiPriority w:val="0"/>
    <w:pPr>
      <w:spacing w:beforeLines="10" w:after="0" w:line="264" w:lineRule="auto"/>
      <w:jc w:val="left"/>
    </w:pPr>
    <w:rPr>
      <w:sz w:val="18"/>
    </w:rPr>
  </w:style>
  <w:style w:type="paragraph" w:customStyle="1" w:styleId="244">
    <w:name w:val="样式6"/>
    <w:basedOn w:val="1"/>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uiPriority w:val="0"/>
    <w:rPr>
      <w:szCs w:val="24"/>
    </w:rPr>
  </w:style>
  <w:style w:type="paragraph" w:customStyle="1" w:styleId="248">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49">
    <w:name w:val="p0"/>
    <w:basedOn w:val="1"/>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uiPriority w:val="0"/>
    <w:rPr>
      <w:sz w:val="18"/>
      <w:szCs w:val="18"/>
    </w:rPr>
  </w:style>
  <w:style w:type="paragraph" w:customStyle="1" w:styleId="251">
    <w:name w:val="样式4"/>
    <w:basedOn w:val="21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253">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254">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5">
    <w:name w:val="样式 首行缩进:  0 厘米 行距: 单倍行距"/>
    <w:basedOn w:val="1"/>
    <w:uiPriority w:val="0"/>
    <w:pPr>
      <w:adjustRightInd w:val="0"/>
      <w:textAlignment w:val="baseline"/>
    </w:pPr>
    <w:rPr>
      <w:kern w:val="0"/>
    </w:rPr>
  </w:style>
  <w:style w:type="paragraph" w:customStyle="1" w:styleId="256">
    <w:name w:val="术语定义三级条标题"/>
    <w:basedOn w:val="239"/>
    <w:next w:val="202"/>
    <w:uiPriority w:val="0"/>
    <w:pPr>
      <w:tabs>
        <w:tab w:val="left" w:pos="1575"/>
        <w:tab w:val="clear" w:pos="735"/>
      </w:tabs>
      <w:ind w:left="1575"/>
    </w:pPr>
  </w:style>
  <w:style w:type="paragraph" w:customStyle="1" w:styleId="257">
    <w:name w:val="Char Char Char Char"/>
    <w:basedOn w:val="1"/>
    <w:uiPriority w:val="0"/>
    <w:rPr>
      <w:szCs w:val="24"/>
    </w:rPr>
  </w:style>
  <w:style w:type="paragraph" w:customStyle="1" w:styleId="258">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59">
    <w:name w:val="样式1 样式 标题 5 + 段前: 0 行"/>
    <w:basedOn w:val="260"/>
    <w:next w:val="1"/>
    <w:uiPriority w:val="0"/>
    <w:pPr>
      <w:tabs>
        <w:tab w:val="left" w:pos="0"/>
        <w:tab w:val="left" w:pos="210"/>
        <w:tab w:val="left" w:pos="1050"/>
        <w:tab w:val="left" w:pos="1080"/>
      </w:tabs>
      <w:spacing w:beforeLines="0" w:line="276" w:lineRule="auto"/>
    </w:pPr>
  </w:style>
  <w:style w:type="paragraph" w:customStyle="1" w:styleId="26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6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5">
    <w:name w:val="a.a.a"/>
    <w:basedOn w:val="1"/>
    <w:uiPriority w:val="0"/>
    <w:pPr>
      <w:spacing w:beforeLines="50" w:afterLines="50"/>
      <w:jc w:val="left"/>
      <w:outlineLvl w:val="2"/>
    </w:pPr>
    <w:rPr>
      <w:rFonts w:ascii="黑体" w:hAnsi="宋体" w:eastAsia="黑体"/>
      <w:sz w:val="24"/>
    </w:rPr>
  </w:style>
  <w:style w:type="paragraph" w:customStyle="1" w:styleId="266">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67">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268">
    <w:name w:val="封面标准号2"/>
    <w:basedOn w:val="269"/>
    <w:uiPriority w:val="0"/>
    <w:pPr>
      <w:spacing w:before="357" w:line="280" w:lineRule="exact"/>
    </w:pPr>
  </w:style>
  <w:style w:type="paragraph" w:customStyle="1" w:styleId="269">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70">
    <w:name w:val="普通文字"/>
    <w:basedOn w:val="1"/>
    <w:next w:val="1"/>
    <w:qFormat/>
    <w:uiPriority w:val="0"/>
    <w:rPr>
      <w:rFonts w:ascii="宋体"/>
      <w:kern w:val="0"/>
      <w:sz w:val="24"/>
      <w:u w:val="none" w:color="000000"/>
    </w:rPr>
  </w:style>
  <w:style w:type="paragraph" w:customStyle="1" w:styleId="271">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7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uiPriority w:val="0"/>
    <w:pPr>
      <w:spacing w:before="400" w:after="440"/>
    </w:pPr>
    <w:rPr>
      <w:rFonts w:ascii="Times New Roman" w:hAnsi="Times New Roman"/>
      <w:spacing w:val="-30"/>
      <w:sz w:val="60"/>
    </w:rPr>
  </w:style>
  <w:style w:type="paragraph" w:customStyle="1" w:styleId="274">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276">
    <w:name w:val="公司名"/>
    <w:basedOn w:val="277"/>
    <w:uiPriority w:val="0"/>
    <w:pPr>
      <w:spacing w:before="0"/>
    </w:pPr>
  </w:style>
  <w:style w:type="paragraph" w:customStyle="1" w:styleId="277">
    <w:name w:val="_标准名称"/>
    <w:basedOn w:val="1"/>
    <w:next w:val="30"/>
    <w:uiPriority w:val="0"/>
    <w:pPr>
      <w:snapToGrid w:val="0"/>
      <w:spacing w:before="567" w:after="680"/>
      <w:jc w:val="center"/>
    </w:pPr>
    <w:rPr>
      <w:rFonts w:ascii="Arial" w:hAnsi="Arial" w:eastAsia="黑体"/>
      <w:sz w:val="32"/>
    </w:rPr>
  </w:style>
  <w:style w:type="paragraph" w:customStyle="1" w:styleId="278">
    <w:name w:val="四级无标题条"/>
    <w:basedOn w:val="1"/>
    <w:uiPriority w:val="0"/>
    <w:pPr>
      <w:numPr>
        <w:ilvl w:val="5"/>
        <w:numId w:val="1"/>
      </w:numPr>
    </w:pPr>
    <w:rPr>
      <w:rFonts w:eastAsia="黑体"/>
      <w:b/>
    </w:rPr>
  </w:style>
  <w:style w:type="paragraph" w:customStyle="1" w:styleId="279">
    <w:name w:val="正文表标题"/>
    <w:next w:val="1"/>
    <w:uiPriority w:val="0"/>
    <w:pPr>
      <w:jc w:val="center"/>
    </w:pPr>
    <w:rPr>
      <w:rFonts w:ascii="黑体" w:hAnsi="Times New Roman" w:eastAsia="黑体" w:cs="Times New Roman"/>
      <w:sz w:val="21"/>
      <w:lang w:val="en-US" w:eastAsia="zh-CN" w:bidi="ar-SA"/>
    </w:rPr>
  </w:style>
  <w:style w:type="paragraph" w:customStyle="1" w:styleId="280">
    <w:name w:val="样式 样式 样式 首行缩进:  0.77 厘米 段前: 0.1 行 + 首行缩进:  2 字符 段前: 0.1 行 + 首行缩进..."/>
    <w:basedOn w:val="218"/>
    <w:uiPriority w:val="0"/>
    <w:pPr>
      <w:ind w:firstLine="420"/>
    </w:pPr>
  </w:style>
  <w:style w:type="paragraph" w:customStyle="1" w:styleId="281">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28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3">
    <w:name w:val="样式 段前: 0.1 行2"/>
    <w:basedOn w:val="1"/>
    <w:uiPriority w:val="0"/>
    <w:pPr>
      <w:spacing w:line="276" w:lineRule="auto"/>
    </w:pPr>
  </w:style>
  <w:style w:type="paragraph" w:customStyle="1" w:styleId="284">
    <w:name w:val="五级条标题"/>
    <w:basedOn w:val="285"/>
    <w:next w:val="202"/>
    <w:uiPriority w:val="0"/>
    <w:pPr>
      <w:tabs>
        <w:tab w:val="left" w:pos="-1080"/>
      </w:tabs>
      <w:outlineLvl w:val="6"/>
    </w:pPr>
  </w:style>
  <w:style w:type="paragraph" w:customStyle="1" w:styleId="285">
    <w:name w:val="四级条标题"/>
    <w:basedOn w:val="286"/>
    <w:next w:val="202"/>
    <w:uiPriority w:val="0"/>
    <w:pPr>
      <w:tabs>
        <w:tab w:val="left" w:pos="-1080"/>
      </w:tabs>
      <w:outlineLvl w:val="5"/>
    </w:pPr>
  </w:style>
  <w:style w:type="paragraph" w:customStyle="1" w:styleId="286">
    <w:name w:val="三级条标题"/>
    <w:basedOn w:val="235"/>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uiPriority w:val="0"/>
    <w:pPr>
      <w:spacing w:line="480" w:lineRule="exact"/>
      <w:ind w:firstLine="480" w:firstLineChars="200"/>
    </w:pPr>
    <w:rPr>
      <w:sz w:val="24"/>
    </w:rPr>
  </w:style>
  <w:style w:type="paragraph" w:customStyle="1" w:styleId="289">
    <w:name w:val="样式1 标题 1 + 段前: 0.7 行 段后: 0.7 行 + 段前: 1 行 段后: 1 行"/>
    <w:basedOn w:val="290"/>
    <w:uiPriority w:val="0"/>
    <w:pPr>
      <w:tabs>
        <w:tab w:val="left" w:pos="360"/>
        <w:tab w:val="left" w:pos="1021"/>
      </w:tabs>
      <w:spacing w:beforeLines="100" w:afterLines="100"/>
    </w:pPr>
  </w:style>
  <w:style w:type="paragraph" w:customStyle="1" w:styleId="290">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uiPriority w:val="0"/>
    <w:pPr>
      <w:tabs>
        <w:tab w:val="left" w:pos="357"/>
        <w:tab w:val="left" w:pos="900"/>
      </w:tabs>
      <w:spacing w:beforeLines="10" w:line="312" w:lineRule="auto"/>
    </w:pPr>
  </w:style>
  <w:style w:type="paragraph" w:customStyle="1" w:styleId="292">
    <w:name w:val="Style 三级条标题 + Before:  6 pt"/>
    <w:basedOn w:val="286"/>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uiPriority w:val="0"/>
    <w:pPr>
      <w:tabs>
        <w:tab w:val="left" w:pos="1995"/>
        <w:tab w:val="clear" w:pos="735"/>
      </w:tabs>
      <w:ind w:left="1995"/>
    </w:pPr>
  </w:style>
  <w:style w:type="paragraph" w:customStyle="1" w:styleId="294">
    <w:name w:val="术语定义五级条标题"/>
    <w:basedOn w:val="240"/>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96">
    <w:name w:val="Char Char Char Char Char2 Char2"/>
    <w:basedOn w:val="1"/>
    <w:uiPriority w:val="0"/>
    <w:pPr>
      <w:topLinePunct/>
      <w:adjustRightInd w:val="0"/>
    </w:pPr>
  </w:style>
  <w:style w:type="paragraph" w:customStyle="1" w:styleId="29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98">
    <w:name w:val="引言一级条标题"/>
    <w:basedOn w:val="1"/>
    <w:next w:val="202"/>
    <w:uiPriority w:val="0"/>
    <w:pPr>
      <w:widowControl/>
      <w:numPr>
        <w:ilvl w:val="0"/>
        <w:numId w:val="3"/>
      </w:numPr>
    </w:pPr>
    <w:rPr>
      <w:rFonts w:eastAsia="黑体"/>
      <w:b/>
    </w:rPr>
  </w:style>
  <w:style w:type="paragraph" w:customStyle="1" w:styleId="299">
    <w:name w:val="朱1"/>
    <w:basedOn w:val="164"/>
    <w:uiPriority w:val="0"/>
  </w:style>
  <w:style w:type="paragraph" w:customStyle="1" w:styleId="300">
    <w:name w:val="Char Char Char1 Char"/>
    <w:basedOn w:val="1"/>
    <w:uiPriority w:val="0"/>
    <w:pPr>
      <w:spacing w:line="240" w:lineRule="atLeast"/>
      <w:ind w:left="420" w:firstLine="420"/>
    </w:pPr>
    <w:rPr>
      <w:kern w:val="0"/>
    </w:rPr>
  </w:style>
  <w:style w:type="paragraph" w:customStyle="1" w:styleId="301">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2">
    <w:name w:val="CM40"/>
    <w:basedOn w:val="303"/>
    <w:next w:val="303"/>
    <w:uiPriority w:val="0"/>
    <w:pPr>
      <w:spacing w:line="320" w:lineRule="atLeast"/>
    </w:pPr>
    <w:rPr>
      <w:rFonts w:ascii="Times New Roman"/>
      <w:color w:val="auto"/>
    </w:rPr>
  </w:style>
  <w:style w:type="paragraph" w:customStyle="1" w:styleId="303">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04">
    <w:name w:val="样式 标题 2H2h2h21Heading 2 HiddenHeading 2 CCBSheading 2l2C..."/>
    <w:basedOn w:val="3"/>
    <w:next w:val="272"/>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uiPriority w:val="0"/>
    <w:pPr>
      <w:topLinePunct/>
      <w:spacing w:before="560" w:after="560" w:line="560" w:lineRule="exact"/>
      <w:jc w:val="center"/>
    </w:pPr>
    <w:rPr>
      <w:rFonts w:eastAsia="黑体"/>
      <w:sz w:val="32"/>
      <w:lang w:val="zh-CN"/>
    </w:rPr>
  </w:style>
  <w:style w:type="paragraph" w:customStyle="1" w:styleId="306">
    <w:name w:val="附录标识"/>
    <w:basedOn w:val="307"/>
    <w:uiPriority w:val="0"/>
    <w:pPr>
      <w:tabs>
        <w:tab w:val="left" w:pos="6405"/>
      </w:tabs>
      <w:spacing w:after="200"/>
    </w:pPr>
    <w:rPr>
      <w:sz w:val="21"/>
    </w:r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8">
    <w:name w:val="_表格条文"/>
    <w:basedOn w:val="1"/>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uiPriority w:val="0"/>
    <w:pPr>
      <w:tabs>
        <w:tab w:val="left" w:pos="360"/>
      </w:tabs>
      <w:spacing w:beforeLines="0" w:afterLines="0"/>
    </w:pPr>
  </w:style>
  <w:style w:type="paragraph" w:customStyle="1" w:styleId="310">
    <w:name w:val="样式1 标题 1 + 段前: 1 行 段后: 1 行"/>
    <w:basedOn w:val="290"/>
    <w:uiPriority w:val="0"/>
    <w:pPr>
      <w:spacing w:beforeLines="100" w:afterLines="100"/>
    </w:pPr>
    <w:rPr>
      <w:rFonts w:eastAsia="黑体"/>
      <w:b w:val="0"/>
    </w:rPr>
  </w:style>
  <w:style w:type="paragraph" w:customStyle="1" w:styleId="311">
    <w:name w:val="样式 Times New Roman 首行缩进:  0.74 厘米 段前: 0.1 行"/>
    <w:basedOn w:val="1"/>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14">
    <w:name w:val="工程建设公式标题"/>
    <w:basedOn w:val="315"/>
    <w:uiPriority w:val="0"/>
    <w:pPr>
      <w:numPr>
        <w:ilvl w:val="6"/>
        <w:numId w:val="5"/>
      </w:numPr>
      <w:tabs>
        <w:tab w:val="left" w:pos="1260"/>
        <w:tab w:val="left" w:pos="1680"/>
        <w:tab w:val="left" w:pos="2100"/>
      </w:tabs>
      <w:jc w:val="center"/>
      <w:outlineLvl w:val="6"/>
    </w:pPr>
  </w:style>
  <w:style w:type="paragraph" w:customStyle="1" w:styleId="315">
    <w:name w:val="工程建设条标题"/>
    <w:basedOn w:val="316"/>
    <w:next w:val="202"/>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316">
    <w:name w:val="工程建设节标题"/>
    <w:basedOn w:val="317"/>
    <w:next w:val="202"/>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317">
    <w:name w:val="工程建设章标题"/>
    <w:next w:val="202"/>
    <w:uiPriority w:val="0"/>
    <w:pPr>
      <w:numPr>
        <w:ilvl w:val="1"/>
        <w:numId w:val="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8">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19">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uiPriority w:val="0"/>
    <w:pPr>
      <w:spacing w:before="24" w:afterLines="10"/>
      <w:ind w:firstLine="0" w:firstLineChars="0"/>
    </w:pPr>
  </w:style>
  <w:style w:type="paragraph" w:customStyle="1" w:styleId="322">
    <w:name w:val="样式1-4 Times New Roman行距: 多倍行距 1.15 字行 + 左侧:  4 字符"/>
    <w:basedOn w:val="323"/>
    <w:uiPriority w:val="0"/>
    <w:pPr>
      <w:tabs>
        <w:tab w:val="left" w:pos="315"/>
      </w:tabs>
      <w:ind w:left="840" w:leftChars="400"/>
    </w:pPr>
  </w:style>
  <w:style w:type="paragraph" w:customStyle="1" w:styleId="323">
    <w:name w:val="样式 Times New Roman 段前: 0.1 行 行距: 多倍行距 1.2 字行"/>
    <w:basedOn w:val="1"/>
    <w:uiPriority w:val="0"/>
    <w:pPr>
      <w:spacing w:line="276" w:lineRule="auto"/>
      <w:ind w:left="420" w:leftChars="200"/>
    </w:pPr>
  </w:style>
  <w:style w:type="paragraph" w:customStyle="1" w:styleId="324">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325">
    <w:name w:val="参考文献、索引标题"/>
    <w:basedOn w:val="307"/>
    <w:next w:val="1"/>
    <w:uiPriority w:val="0"/>
    <w:pPr>
      <w:spacing w:after="200"/>
    </w:pPr>
    <w:rPr>
      <w:sz w:val="21"/>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uiPriority w:val="0"/>
    <w:pPr>
      <w:tabs>
        <w:tab w:val="center" w:pos="4160"/>
        <w:tab w:val="right" w:pos="8300"/>
      </w:tabs>
      <w:topLinePunct/>
      <w:adjustRightInd w:val="0"/>
      <w:spacing w:line="312" w:lineRule="auto"/>
    </w:pPr>
  </w:style>
  <w:style w:type="paragraph" w:customStyle="1" w:styleId="328">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29">
    <w:name w:val="_列项符号2"/>
    <w:basedOn w:val="24"/>
    <w:uiPriority w:val="0"/>
    <w:pPr>
      <w:tabs>
        <w:tab w:val="left" w:pos="820"/>
      </w:tabs>
      <w:snapToGrid w:val="0"/>
      <w:spacing w:line="276" w:lineRule="auto"/>
      <w:ind w:left="820" w:hanging="420"/>
    </w:pPr>
  </w:style>
  <w:style w:type="paragraph" w:customStyle="1" w:styleId="330">
    <w:name w:val="序号"/>
    <w:basedOn w:val="1"/>
    <w:uiPriority w:val="0"/>
    <w:pPr>
      <w:spacing w:line="300" w:lineRule="auto"/>
    </w:pPr>
    <w:rPr>
      <w:rFonts w:ascii="宋体" w:hAnsi="宋体"/>
      <w:sz w:val="24"/>
    </w:rPr>
  </w:style>
  <w:style w:type="paragraph" w:customStyle="1" w:styleId="331">
    <w:name w:val="样式 样式 标题 1 + 段前: 0.7 行 段后: 0.7 行"/>
    <w:basedOn w:val="290"/>
    <w:uiPriority w:val="0"/>
    <w:pPr>
      <w:tabs>
        <w:tab w:val="left" w:pos="340"/>
        <w:tab w:val="clear" w:pos="360"/>
      </w:tabs>
      <w:spacing w:beforeLines="100" w:afterLines="100"/>
    </w:pPr>
  </w:style>
  <w:style w:type="paragraph" w:customStyle="1" w:styleId="332">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0"/>
    <w:uiPriority w:val="0"/>
    <w:pPr>
      <w:tabs>
        <w:tab w:val="left" w:pos="800"/>
      </w:tabs>
      <w:snapToGrid w:val="0"/>
      <w:spacing w:beforeLines="0" w:line="276" w:lineRule="auto"/>
      <w:ind w:left="800" w:hanging="400"/>
    </w:pPr>
  </w:style>
  <w:style w:type="paragraph" w:customStyle="1" w:styleId="334">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35">
    <w:name w:val="正文-d"/>
    <w:basedOn w:val="1"/>
    <w:uiPriority w:val="0"/>
    <w:pPr>
      <w:ind w:firstLine="200" w:firstLineChars="200"/>
    </w:pPr>
    <w:rPr>
      <w:szCs w:val="21"/>
    </w:rPr>
  </w:style>
  <w:style w:type="paragraph" w:customStyle="1" w:styleId="33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uiPriority w:val="0"/>
    <w:pPr>
      <w:spacing w:line="312" w:lineRule="exact"/>
    </w:pPr>
    <w:rPr>
      <w:rFonts w:ascii="EU-F1" w:eastAsia="黑体"/>
      <w:sz w:val="21"/>
    </w:rPr>
  </w:style>
  <w:style w:type="paragraph" w:customStyle="1" w:styleId="338">
    <w:name w:val="图说"/>
    <w:basedOn w:val="1"/>
    <w:uiPriority w:val="0"/>
    <w:pPr>
      <w:topLinePunct/>
      <w:spacing w:before="60" w:after="160"/>
      <w:jc w:val="center"/>
    </w:pPr>
    <w:rPr>
      <w:sz w:val="18"/>
    </w:rPr>
  </w:style>
  <w:style w:type="paragraph" w:customStyle="1" w:styleId="339">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340">
    <w:name w:val="附录表标题续表"/>
    <w:basedOn w:val="341"/>
    <w:next w:val="202"/>
    <w:uiPriority w:val="0"/>
    <w:pPr>
      <w:widowControl/>
      <w:numPr>
        <w:ilvl w:val="0"/>
        <w:numId w:val="6"/>
      </w:numPr>
      <w:tabs>
        <w:tab w:val="left" w:pos="210"/>
        <w:tab w:val="left" w:pos="360"/>
        <w:tab w:val="left" w:pos="420"/>
      </w:tabs>
      <w:adjustRightInd/>
      <w:spacing w:line="360" w:lineRule="auto"/>
    </w:pPr>
    <w:rPr>
      <w:rFonts w:ascii="宋体" w:hAnsi="宋体" w:eastAsia="宋体"/>
    </w:rPr>
  </w:style>
  <w:style w:type="paragraph" w:customStyle="1" w:styleId="341">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42">
    <w:name w:val="_列项符号1"/>
    <w:basedOn w:val="24"/>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uiPriority w:val="0"/>
    <w:pPr>
      <w:spacing w:before="1800" w:line="240" w:lineRule="atLeast"/>
      <w:jc w:val="center"/>
    </w:pPr>
    <w:rPr>
      <w:rFonts w:ascii="黑体" w:eastAsia="黑体"/>
      <w:b/>
      <w:spacing w:val="0"/>
      <w:sz w:val="52"/>
    </w:rPr>
  </w:style>
  <w:style w:type="paragraph" w:customStyle="1" w:styleId="345">
    <w:name w:val="副题目 – 封页"/>
    <w:basedOn w:val="344"/>
    <w:next w:val="30"/>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uiPriority w:val="0"/>
    <w:pPr>
      <w:spacing w:afterLines="10"/>
      <w:ind w:firstLine="200"/>
    </w:pPr>
  </w:style>
  <w:style w:type="paragraph" w:customStyle="1" w:styleId="347">
    <w:name w:val="注：（正文）"/>
    <w:basedOn w:val="261"/>
    <w:next w:val="202"/>
    <w:uiPriority w:val="0"/>
    <w:pPr>
      <w:numPr>
        <w:ilvl w:val="0"/>
        <w:numId w:val="7"/>
      </w:numPr>
      <w:tabs>
        <w:tab w:val="left" w:pos="918"/>
      </w:tabs>
      <w:adjustRightInd w:val="0"/>
      <w:spacing w:line="360" w:lineRule="atLeast"/>
      <w:textAlignment w:val="baseline"/>
    </w:pPr>
  </w:style>
  <w:style w:type="paragraph" w:customStyle="1" w:styleId="348">
    <w:name w:val="_Style 347"/>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uiPriority w:val="0"/>
  </w:style>
  <w:style w:type="paragraph" w:customStyle="1" w:styleId="353">
    <w:name w:val="样式 样式1 样式 编号 a + Times New Roman 段前: 0 行 行距: 多倍行距 1.15 字行 + 左侧....."/>
    <w:basedOn w:val="320"/>
    <w:uiPriority w:val="0"/>
    <w:pPr>
      <w:ind w:left="840" w:leftChars="200" w:hanging="420"/>
    </w:pPr>
  </w:style>
  <w:style w:type="paragraph" w:customStyle="1" w:styleId="354">
    <w:name w:val="样式 样式 正文（首行缩进两字） Char + 宋体 加粗 首行缩进:  2 字符 段前: 0.1 行 + 首行缩进:  2 字..."/>
    <w:basedOn w:val="355"/>
    <w:uiPriority w:val="0"/>
    <w:pPr>
      <w:spacing w:line="276" w:lineRule="auto"/>
    </w:pPr>
  </w:style>
  <w:style w:type="paragraph" w:customStyle="1" w:styleId="355">
    <w:name w:val="样式 正文（首行缩进两字） Char + 宋体 加粗 首行缩进:  2 字符 段前: 0.1 行"/>
    <w:basedOn w:val="169"/>
    <w:uiPriority w:val="0"/>
    <w:pPr>
      <w:spacing w:afterLines="10" w:line="300" w:lineRule="auto"/>
      <w:ind w:firstLine="200"/>
    </w:pPr>
    <w:rPr>
      <w:rFonts w:ascii="宋体" w:hAnsi="宋体"/>
      <w:b/>
    </w:rPr>
  </w:style>
  <w:style w:type="paragraph" w:customStyle="1" w:styleId="356">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57">
    <w:name w:val="样式 样式 样式 段前: 0.1 行 + 段前: 0.1 行 + 左侧:  2 字符 段前: 0.1 行"/>
    <w:basedOn w:val="358"/>
    <w:uiPriority w:val="0"/>
    <w:pPr>
      <w:spacing w:beforeLines="0" w:line="276" w:lineRule="auto"/>
      <w:ind w:left="420"/>
    </w:pPr>
  </w:style>
  <w:style w:type="paragraph" w:customStyle="1" w:styleId="358">
    <w:name w:val="样式 样式 段前: 0.1 行 + 段前: 0.1 行"/>
    <w:basedOn w:val="359"/>
    <w:uiPriority w:val="0"/>
    <w:pPr>
      <w:ind w:left="200" w:leftChars="200"/>
    </w:pPr>
  </w:style>
  <w:style w:type="paragraph" w:customStyle="1" w:styleId="359">
    <w:name w:val="样式 段前: 0.1 行"/>
    <w:basedOn w:val="1"/>
    <w:uiPriority w:val="0"/>
    <w:pPr>
      <w:spacing w:beforeLines="10" w:line="300" w:lineRule="auto"/>
    </w:pPr>
  </w:style>
  <w:style w:type="paragraph" w:customStyle="1" w:styleId="360">
    <w:name w:val="默认段落字体 Para Char Char Char Char"/>
    <w:basedOn w:val="1"/>
    <w:uiPriority w:val="0"/>
  </w:style>
  <w:style w:type="paragraph" w:customStyle="1" w:styleId="36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样式 正文（首行缩进两字） Char + 加粗"/>
    <w:basedOn w:val="169"/>
    <w:uiPriority w:val="0"/>
    <w:pPr>
      <w:spacing w:afterLines="10"/>
      <w:ind w:firstLine="200"/>
    </w:pPr>
    <w:rPr>
      <w:b/>
    </w:rPr>
  </w:style>
  <w:style w:type="paragraph" w:customStyle="1" w:styleId="363">
    <w:name w:val="二级无标题条"/>
    <w:basedOn w:val="1"/>
    <w:uiPriority w:val="0"/>
    <w:pPr>
      <w:numPr>
        <w:ilvl w:val="3"/>
        <w:numId w:val="1"/>
      </w:numPr>
    </w:pPr>
    <w:rPr>
      <w:b/>
    </w:rPr>
  </w:style>
  <w:style w:type="paragraph" w:customStyle="1" w:styleId="364">
    <w:name w:val="术语定义二级条标题"/>
    <w:basedOn w:val="239"/>
    <w:next w:val="202"/>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uiPriority w:val="0"/>
    <w:pPr>
      <w:ind w:left="400" w:leftChars="200"/>
    </w:pPr>
  </w:style>
  <w:style w:type="paragraph" w:customStyle="1" w:styleId="366">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7">
    <w:name w:val="_术语说明"/>
    <w:basedOn w:val="368"/>
    <w:uiPriority w:val="0"/>
    <w:pPr>
      <w:spacing w:beforeLines="0" w:line="276" w:lineRule="auto"/>
    </w:pPr>
    <w:rPr>
      <w:color w:val="000000"/>
    </w:rPr>
  </w:style>
  <w:style w:type="paragraph" w:customStyle="1" w:styleId="368">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uiPriority w:val="0"/>
    <w:pPr>
      <w:outlineLvl w:val="5"/>
    </w:pPr>
  </w:style>
  <w:style w:type="paragraph" w:customStyle="1" w:styleId="370">
    <w:name w:val="附录三级条标题"/>
    <w:basedOn w:val="371"/>
    <w:next w:val="202"/>
    <w:uiPriority w:val="0"/>
    <w:pPr>
      <w:outlineLvl w:val="4"/>
    </w:pPr>
  </w:style>
  <w:style w:type="paragraph" w:customStyle="1" w:styleId="371">
    <w:name w:val="附录二级条标题"/>
    <w:basedOn w:val="372"/>
    <w:next w:val="202"/>
    <w:uiPriority w:val="0"/>
    <w:pPr>
      <w:outlineLvl w:val="3"/>
    </w:pPr>
  </w:style>
  <w:style w:type="paragraph" w:customStyle="1" w:styleId="372">
    <w:name w:val="附录一级条标题"/>
    <w:basedOn w:val="264"/>
    <w:next w:val="202"/>
    <w:uiPriority w:val="0"/>
    <w:pPr>
      <w:autoSpaceDN w:val="0"/>
      <w:spacing w:beforeLines="0" w:afterLines="0"/>
      <w:outlineLvl w:val="2"/>
    </w:pPr>
  </w:style>
  <w:style w:type="paragraph" w:customStyle="1" w:styleId="373">
    <w:name w:val="工程建设款标题"/>
    <w:basedOn w:val="315"/>
    <w:uiPriority w:val="0"/>
    <w:pPr>
      <w:numPr>
        <w:ilvl w:val="7"/>
        <w:numId w:val="5"/>
      </w:numPr>
      <w:outlineLvl w:val="9"/>
    </w:pPr>
  </w:style>
  <w:style w:type="paragraph" w:customStyle="1" w:styleId="374">
    <w:name w:val="样式 3"/>
    <w:basedOn w:val="1"/>
    <w:uiPriority w:val="0"/>
    <w:pPr>
      <w:topLinePunct/>
      <w:adjustRightInd w:val="0"/>
      <w:ind w:left="840" w:hanging="420"/>
    </w:pPr>
    <w:rPr>
      <w:kern w:val="21"/>
      <w:szCs w:val="21"/>
    </w:rPr>
  </w:style>
  <w:style w:type="paragraph" w:customStyle="1" w:styleId="375">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7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7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uiPriority w:val="0"/>
    <w:rPr>
      <w:rFonts w:ascii="Times New Roman"/>
      <w:color w:val="auto"/>
    </w:rPr>
  </w:style>
  <w:style w:type="paragraph" w:customStyle="1" w:styleId="381">
    <w:name w:val="样式 Times New Roman 段前: 0.1 行 行距: 多倍行距 1.25 字行"/>
    <w:basedOn w:val="1"/>
    <w:uiPriority w:val="0"/>
    <w:pPr>
      <w:spacing w:line="276" w:lineRule="auto"/>
    </w:pPr>
    <w:rPr>
      <w:rFonts w:hAnsi="宋体"/>
    </w:rPr>
  </w:style>
  <w:style w:type="paragraph" w:customStyle="1" w:styleId="382">
    <w:name w:val="CM56"/>
    <w:basedOn w:val="303"/>
    <w:next w:val="303"/>
    <w:uiPriority w:val="0"/>
    <w:rPr>
      <w:rFonts w:ascii="Times New Roman"/>
      <w:color w:val="auto"/>
    </w:rPr>
  </w:style>
  <w:style w:type="paragraph" w:customStyle="1" w:styleId="383">
    <w:name w:val="a"/>
    <w:basedOn w:val="272"/>
    <w:uiPriority w:val="0"/>
    <w:pPr>
      <w:tabs>
        <w:tab w:val="clear" w:pos="210"/>
      </w:tabs>
      <w:spacing w:beforeLines="0" w:afterLines="0" w:line="240" w:lineRule="auto"/>
    </w:pPr>
    <w:rPr>
      <w:b w:val="0"/>
      <w:sz w:val="30"/>
    </w:rPr>
  </w:style>
  <w:style w:type="paragraph" w:customStyle="1" w:styleId="384">
    <w:name w:val="Char Char Char Char Char Char"/>
    <w:basedOn w:val="1"/>
    <w:uiPriority w:val="0"/>
  </w:style>
  <w:style w:type="paragraph" w:customStyle="1" w:styleId="385">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386">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uiPriority w:val="0"/>
  </w:style>
  <w:style w:type="paragraph" w:customStyle="1" w:styleId="388">
    <w:name w:val="样式 正文（首行缩进两字） Char + 首行缩进:  2 字符 段前: 0.1 行"/>
    <w:basedOn w:val="169"/>
    <w:uiPriority w:val="0"/>
    <w:pPr>
      <w:spacing w:afterLines="10" w:line="300" w:lineRule="auto"/>
      <w:ind w:firstLine="200"/>
    </w:pPr>
  </w:style>
  <w:style w:type="paragraph" w:customStyle="1" w:styleId="389">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90">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1">
    <w:name w:val="引言二级条标题"/>
    <w:basedOn w:val="298"/>
    <w:next w:val="202"/>
    <w:uiPriority w:val="0"/>
    <w:pPr>
      <w:numPr>
        <w:ilvl w:val="1"/>
        <w:numId w:val="10"/>
      </w:numPr>
      <w:ind w:leftChars="0" w:firstLineChars="0"/>
    </w:pPr>
  </w:style>
  <w:style w:type="paragraph" w:customStyle="1" w:styleId="392">
    <w:name w:val="副标题1"/>
    <w:basedOn w:val="57"/>
    <w:next w:val="1"/>
    <w:uiPriority w:val="0"/>
    <w:pPr>
      <w:topLinePunct w:val="0"/>
      <w:adjustRightInd/>
      <w:snapToGrid w:val="0"/>
      <w:spacing w:before="360" w:after="680"/>
    </w:pPr>
    <w:rPr>
      <w:rFonts w:eastAsia="黑体"/>
      <w:b w:val="0"/>
      <w:sz w:val="48"/>
    </w:rPr>
  </w:style>
  <w:style w:type="paragraph" w:customStyle="1" w:styleId="393">
    <w:name w:val="节标签"/>
    <w:basedOn w:val="274"/>
    <w:next w:val="30"/>
    <w:uiPriority w:val="0"/>
    <w:pPr>
      <w:spacing w:before="400" w:after="440"/>
    </w:pPr>
    <w:rPr>
      <w:rFonts w:ascii="Times New Roman" w:hAnsi="Times New Roman"/>
      <w:spacing w:val="-30"/>
      <w:sz w:val="60"/>
    </w:rPr>
  </w:style>
  <w:style w:type="paragraph" w:customStyle="1" w:styleId="394">
    <w:name w:val="公式"/>
    <w:basedOn w:val="41"/>
    <w:uiPriority w:val="0"/>
    <w:pPr>
      <w:tabs>
        <w:tab w:val="center" w:pos="4706"/>
        <w:tab w:val="right" w:pos="9412"/>
      </w:tabs>
    </w:pPr>
    <w:rPr>
      <w:rFonts w:ascii="Times New Roman" w:hAnsi="宋体"/>
    </w:rPr>
  </w:style>
  <w:style w:type="paragraph" w:customStyle="1" w:styleId="39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9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397">
    <w:name w:val="CM38"/>
    <w:basedOn w:val="303"/>
    <w:next w:val="303"/>
    <w:uiPriority w:val="0"/>
    <w:pPr>
      <w:spacing w:line="320" w:lineRule="atLeast"/>
    </w:pPr>
    <w:rPr>
      <w:rFonts w:ascii="Times New Roman"/>
      <w:color w:val="auto"/>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99">
    <w:name w:val="样式 样式 段前: 0.1 行 首行缩进:  2 字符 + 首行缩进:  2 字符 段前: 0.1 行"/>
    <w:basedOn w:val="400"/>
    <w:uiPriority w:val="0"/>
    <w:pPr>
      <w:spacing w:line="276" w:lineRule="auto"/>
      <w:ind w:firstLine="420"/>
    </w:pPr>
  </w:style>
  <w:style w:type="paragraph" w:customStyle="1" w:styleId="400">
    <w:name w:val="样式 段前: 0.1 行 首行缩进:  2 字符"/>
    <w:basedOn w:val="1"/>
    <w:uiPriority w:val="0"/>
    <w:pPr>
      <w:spacing w:beforeLines="10" w:line="300" w:lineRule="auto"/>
      <w:ind w:firstLine="200" w:firstLineChars="200"/>
    </w:pPr>
  </w:style>
  <w:style w:type="paragraph" w:customStyle="1" w:styleId="401">
    <w:name w:val="1"/>
    <w:basedOn w:val="1"/>
    <w:next w:val="1"/>
    <w:uiPriority w:val="0"/>
    <w:pPr>
      <w:topLinePunct/>
      <w:adjustRightInd w:val="0"/>
    </w:pPr>
    <w:rPr>
      <w:rFonts w:ascii="Courier New" w:hAnsi="Courier New"/>
      <w:sz w:val="20"/>
    </w:rPr>
  </w:style>
  <w:style w:type="paragraph" w:customStyle="1" w:styleId="402">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0"/>
    <w:uiPriority w:val="0"/>
    <w:pPr>
      <w:tabs>
        <w:tab w:val="left" w:pos="1200"/>
      </w:tabs>
      <w:snapToGrid w:val="0"/>
      <w:spacing w:beforeLines="0" w:line="276" w:lineRule="auto"/>
      <w:ind w:left="1200" w:hanging="400"/>
    </w:pPr>
  </w:style>
  <w:style w:type="paragraph" w:customStyle="1" w:styleId="40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uiPriority w:val="0"/>
    <w:pPr>
      <w:tabs>
        <w:tab w:val="left" w:pos="0"/>
      </w:tabs>
      <w:spacing w:line="360" w:lineRule="auto"/>
    </w:pPr>
    <w:rPr>
      <w:rFonts w:ascii="宋体" w:hAnsi="宋体"/>
      <w:kern w:val="0"/>
      <w:sz w:val="24"/>
    </w:rPr>
  </w:style>
  <w:style w:type="paragraph" w:customStyle="1" w:styleId="406">
    <w:name w:val="朱表头"/>
    <w:basedOn w:val="162"/>
    <w:uiPriority w:val="0"/>
    <w:pPr>
      <w:spacing w:line="312" w:lineRule="exact"/>
    </w:pPr>
    <w:rPr>
      <w:rFonts w:ascii="EU-F1"/>
      <w:snapToGrid w:val="0"/>
      <w:szCs w:val="20"/>
    </w:rPr>
  </w:style>
  <w:style w:type="paragraph" w:customStyle="1" w:styleId="407">
    <w:name w:val="样式 段前: 0.1 行1"/>
    <w:basedOn w:val="1"/>
    <w:uiPriority w:val="0"/>
    <w:pPr>
      <w:spacing w:beforeLines="10" w:line="312" w:lineRule="auto"/>
    </w:pPr>
  </w:style>
  <w:style w:type="paragraph" w:customStyle="1" w:styleId="408">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0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uiPriority w:val="0"/>
    <w:pPr>
      <w:tabs>
        <w:tab w:val="center" w:pos="4763"/>
        <w:tab w:val="right" w:pos="9412"/>
      </w:tabs>
    </w:pPr>
    <w:rPr>
      <w:kern w:val="21"/>
    </w:rPr>
  </w:style>
  <w:style w:type="paragraph" w:customStyle="1" w:styleId="412">
    <w:name w:val="样式 Times New Roman 段前: 0.1 行 行距: 多倍行距 1.15 字行"/>
    <w:basedOn w:val="1"/>
    <w:uiPriority w:val="0"/>
    <w:pPr>
      <w:spacing w:line="276" w:lineRule="auto"/>
    </w:pPr>
  </w:style>
  <w:style w:type="paragraph" w:customStyle="1" w:styleId="413">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14">
    <w:name w:val="工程建设图标题"/>
    <w:basedOn w:val="315"/>
    <w:uiPriority w:val="0"/>
    <w:pPr>
      <w:numPr>
        <w:ilvl w:val="5"/>
        <w:numId w:val="5"/>
      </w:numPr>
      <w:ind w:leftChars="0" w:firstLineChars="0"/>
      <w:jc w:val="center"/>
      <w:outlineLvl w:val="5"/>
    </w:pPr>
  </w:style>
  <w:style w:type="paragraph" w:customStyle="1" w:styleId="415">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16">
    <w:name w:val="样式1 标题 5 + 段前: 0.1 行 + 段前: 0.1 行"/>
    <w:basedOn w:val="1"/>
    <w:uiPriority w:val="0"/>
    <w:pPr>
      <w:tabs>
        <w:tab w:val="left" w:pos="357"/>
        <w:tab w:val="left" w:pos="1134"/>
      </w:tabs>
      <w:spacing w:beforeLines="10" w:line="312" w:lineRule="auto"/>
    </w:pPr>
  </w:style>
  <w:style w:type="paragraph" w:customStyle="1" w:styleId="417">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uiPriority w:val="0"/>
    <w:pPr>
      <w:tabs>
        <w:tab w:val="left" w:pos="420"/>
      </w:tabs>
      <w:jc w:val="center"/>
    </w:pPr>
    <w:rPr>
      <w:rFonts w:ascii="黑体" w:eastAsia="黑体"/>
    </w:rPr>
  </w:style>
  <w:style w:type="paragraph" w:customStyle="1" w:styleId="419">
    <w:name w:val="条文说明"/>
    <w:basedOn w:val="420"/>
    <w:uiPriority w:val="0"/>
  </w:style>
  <w:style w:type="paragraph" w:customStyle="1" w:styleId="420">
    <w:name w:val="名称"/>
    <w:basedOn w:val="307"/>
    <w:next w:val="202"/>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22">
    <w:name w:val="样式 样式2 + 右侧:  1 字符"/>
    <w:basedOn w:val="175"/>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23">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uiPriority w:val="0"/>
    <w:pPr>
      <w:tabs>
        <w:tab w:val="left" w:pos="3885"/>
      </w:tabs>
      <w:spacing w:beforeLines="50"/>
    </w:pPr>
  </w:style>
  <w:style w:type="paragraph" w:customStyle="1" w:styleId="42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27">
    <w:name w:val="工程建设表标题"/>
    <w:basedOn w:val="315"/>
    <w:uiPriority w:val="0"/>
    <w:pPr>
      <w:numPr>
        <w:ilvl w:val="4"/>
        <w:numId w:val="5"/>
      </w:numPr>
      <w:jc w:val="center"/>
      <w:outlineLvl w:val="4"/>
    </w:pPr>
  </w:style>
  <w:style w:type="paragraph" w:customStyle="1" w:styleId="428">
    <w:name w:val="样式1 首行缩进:  0.74 厘米 段前: 0.1 行"/>
    <w:basedOn w:val="169"/>
    <w:next w:val="169"/>
    <w:uiPriority w:val="0"/>
    <w:pPr>
      <w:tabs>
        <w:tab w:val="left" w:pos="820"/>
      </w:tabs>
      <w:spacing w:afterLines="10"/>
      <w:ind w:left="820" w:hanging="420" w:firstLineChars="0"/>
    </w:pPr>
    <w:rPr>
      <w:kern w:val="0"/>
    </w:rPr>
  </w:style>
  <w:style w:type="paragraph" w:customStyle="1" w:styleId="429">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32">
    <w:name w:val="工程建设无节条标题"/>
    <w:basedOn w:val="1"/>
    <w:next w:val="202"/>
    <w:uiPriority w:val="0"/>
    <w:pPr>
      <w:numPr>
        <w:ilvl w:val="8"/>
        <w:numId w:val="5"/>
      </w:numPr>
      <w:outlineLvl w:val="3"/>
    </w:pPr>
  </w:style>
  <w:style w:type="paragraph" w:customStyle="1" w:styleId="43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uiPriority w:val="0"/>
    <w:pPr>
      <w:outlineLvl w:val="6"/>
    </w:pPr>
  </w:style>
  <w:style w:type="paragraph" w:customStyle="1" w:styleId="437">
    <w:name w:val="样式 样式 标题 3H3l3CT小标题中h3sect1.2.33rd level3Head 3level_3PI... + 段前..."/>
    <w:basedOn w:val="378"/>
    <w:uiPriority w:val="0"/>
    <w:pPr>
      <w:numPr>
        <w:ilvl w:val="2"/>
        <w:numId w:val="4"/>
      </w:numPr>
      <w:tabs>
        <w:tab w:val="left" w:pos="1866"/>
        <w:tab w:val="clear" w:pos="1890"/>
        <w:tab w:val="clear" w:pos="280"/>
      </w:tabs>
    </w:pPr>
  </w:style>
  <w:style w:type="paragraph" w:customStyle="1" w:styleId="438">
    <w:name w:val="样式 题目封页 + (西文) 华文中宋 (中文) 华文中宋 32 磅 黑色 两端对齐 段前: 3 磅 段后: 3 磅..."/>
    <w:basedOn w:val="344"/>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uiPriority w:val="0"/>
    <w:pPr>
      <w:spacing w:afterLines="20" w:line="276" w:lineRule="auto"/>
      <w:jc w:val="center"/>
    </w:pPr>
    <w:rPr>
      <w:sz w:val="18"/>
    </w:rPr>
  </w:style>
  <w:style w:type="paragraph" w:customStyle="1" w:styleId="441">
    <w:name w:val="样式 样式 正文文本 2 + 段前: 0.1 行 + 悬挂缩进: 0.03 字符"/>
    <w:basedOn w:val="243"/>
    <w:uiPriority w:val="0"/>
    <w:pPr>
      <w:spacing w:beforeLines="0"/>
      <w:ind w:hanging="6"/>
      <w:jc w:val="center"/>
    </w:pPr>
  </w:style>
  <w:style w:type="paragraph" w:customStyle="1" w:styleId="442">
    <w:name w:val="样式1 标题 2 + 段前: 0行 + 段前: 0.5 行 段后: 0.5 行"/>
    <w:basedOn w:val="156"/>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7">
    <w:name w:val="标准书眉_偶数页"/>
    <w:basedOn w:val="271"/>
    <w:next w:val="1"/>
    <w:uiPriority w:val="0"/>
    <w:pPr>
      <w:jc w:val="left"/>
    </w:pPr>
  </w:style>
  <w:style w:type="paragraph" w:customStyle="1" w:styleId="448">
    <w:name w:val="样式 Times New Roman 段前: 0.1 行"/>
    <w:basedOn w:val="1"/>
    <w:uiPriority w:val="0"/>
    <w:pPr>
      <w:spacing w:beforeLines="10" w:line="300" w:lineRule="auto"/>
      <w:ind w:firstLine="200" w:firstLineChars="200"/>
    </w:pPr>
  </w:style>
  <w:style w:type="paragraph" w:customStyle="1" w:styleId="449">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uiPriority w:val="0"/>
    <w:pPr>
      <w:spacing w:line="276" w:lineRule="auto"/>
    </w:pPr>
  </w:style>
  <w:style w:type="paragraph" w:customStyle="1" w:styleId="451">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5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53">
    <w:name w:val="部分题目"/>
    <w:basedOn w:val="274"/>
    <w:next w:val="410"/>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5"/>
    <w:uiPriority w:val="0"/>
  </w:style>
  <w:style w:type="paragraph" w:customStyle="1" w:styleId="455">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45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uiPriority w:val="0"/>
    <w:pPr>
      <w:spacing w:beforeLines="0" w:line="276" w:lineRule="auto"/>
      <w:jc w:val="left"/>
    </w:pPr>
    <w:rPr>
      <w:rFonts w:eastAsia="黑体"/>
      <w:color w:val="000000"/>
    </w:rPr>
  </w:style>
  <w:style w:type="paragraph" w:customStyle="1" w:styleId="458">
    <w:name w:val="样式 段前: 0.1 行 左  4 字符"/>
    <w:basedOn w:val="1"/>
    <w:uiPriority w:val="0"/>
    <w:pPr>
      <w:spacing w:beforeLines="10" w:line="300" w:lineRule="auto"/>
      <w:ind w:left="400" w:leftChars="400"/>
    </w:pPr>
  </w:style>
  <w:style w:type="paragraph" w:customStyle="1" w:styleId="459">
    <w:name w:val="样式2 样式 a) + 段前: 0行"/>
    <w:basedOn w:val="148"/>
    <w:uiPriority w:val="0"/>
    <w:pPr>
      <w:tabs>
        <w:tab w:val="clear" w:pos="780"/>
      </w:tabs>
      <w:spacing w:beforeLines="0" w:line="276" w:lineRule="auto"/>
      <w:ind w:left="420" w:leftChars="200" w:firstLine="0" w:firstLineChars="0"/>
    </w:pPr>
  </w:style>
  <w:style w:type="paragraph" w:customStyle="1" w:styleId="46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2"/>
    <w:next w:val="180"/>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64">
    <w:name w:val="_列项接续1"/>
    <w:basedOn w:val="34"/>
    <w:uiPriority w:val="0"/>
    <w:pPr>
      <w:spacing w:after="0" w:line="276" w:lineRule="auto"/>
      <w:ind w:left="400" w:leftChars="400"/>
    </w:pPr>
    <w:rPr>
      <w:color w:val="000000"/>
    </w:rPr>
  </w:style>
  <w:style w:type="paragraph" w:customStyle="1" w:styleId="465">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66">
    <w:name w:val="样式 样式 目录 1toc1 + + 左侧:  1 字符 右侧:  1 字符 段前: 0.15 行 段后: 0.15 行"/>
    <w:basedOn w:val="460"/>
    <w:uiPriority w:val="0"/>
  </w:style>
  <w:style w:type="paragraph" w:customStyle="1" w:styleId="467">
    <w:name w:val="样式1 加粗 居中 首行缩进:  0.74 厘米 段前: 0.1 行"/>
    <w:basedOn w:val="1"/>
    <w:uiPriority w:val="0"/>
    <w:pPr>
      <w:spacing w:line="276" w:lineRule="auto"/>
      <w:ind w:firstLine="420"/>
      <w:jc w:val="center"/>
    </w:pPr>
    <w:rPr>
      <w:b/>
    </w:rPr>
  </w:style>
  <w:style w:type="paragraph" w:customStyle="1" w:styleId="468">
    <w:name w:val="附录标题1"/>
    <w:basedOn w:val="3"/>
    <w:next w:val="197"/>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uiPriority w:val="0"/>
    <w:pPr>
      <w:spacing w:line="580" w:lineRule="exact"/>
      <w:ind w:firstLine="200" w:firstLineChars="200"/>
    </w:pPr>
  </w:style>
  <w:style w:type="paragraph" w:customStyle="1" w:styleId="471">
    <w:name w:val="样式 左侧:  0.77 厘米 段前: 0 行 行距: 多倍行距 1.15 字行"/>
    <w:basedOn w:val="1"/>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uiPriority w:val="0"/>
    <w:pPr>
      <w:spacing w:beforeLines="0" w:line="276" w:lineRule="auto"/>
      <w:ind w:firstLine="420"/>
    </w:pPr>
  </w:style>
  <w:style w:type="paragraph" w:customStyle="1" w:styleId="474">
    <w:name w:val="条文脚注"/>
    <w:basedOn w:val="58"/>
    <w:uiPriority w:val="0"/>
    <w:pPr>
      <w:ind w:left="780" w:leftChars="200" w:hanging="360" w:hangingChars="200"/>
      <w:jc w:val="both"/>
    </w:pPr>
    <w:rPr>
      <w:rFonts w:ascii="宋体"/>
    </w:rPr>
  </w:style>
  <w:style w:type="paragraph" w:customStyle="1" w:styleId="475">
    <w:name w:val="样式1 标题 2 + 段前: 0.1 行 + 宋体"/>
    <w:basedOn w:val="1"/>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uiPriority w:val="0"/>
    <w:pPr>
      <w:spacing w:beforeLines="0" w:line="276" w:lineRule="auto"/>
      <w:ind w:firstLine="420"/>
    </w:pPr>
  </w:style>
  <w:style w:type="paragraph" w:customStyle="1" w:styleId="477">
    <w:name w:val="样式8"/>
    <w:basedOn w:val="1"/>
    <w:uiPriority w:val="0"/>
    <w:pPr>
      <w:wordWrap w:val="0"/>
      <w:spacing w:before="400" w:after="40" w:line="360" w:lineRule="exact"/>
      <w:ind w:right="284"/>
      <w:jc w:val="right"/>
    </w:pPr>
    <w:rPr>
      <w:rFonts w:ascii="E-FZ"/>
      <w:sz w:val="28"/>
      <w:szCs w:val="24"/>
    </w:rPr>
  </w:style>
  <w:style w:type="paragraph" w:customStyle="1" w:styleId="478">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79">
    <w:name w:val="表格形式"/>
    <w:basedOn w:val="1"/>
    <w:uiPriority w:val="0"/>
    <w:pPr>
      <w:widowControl/>
      <w:spacing w:before="120" w:line="360" w:lineRule="auto"/>
      <w:ind w:firstLine="425"/>
      <w:jc w:val="center"/>
    </w:pPr>
    <w:rPr>
      <w:kern w:val="0"/>
      <w:sz w:val="24"/>
    </w:rPr>
  </w:style>
  <w:style w:type="paragraph" w:customStyle="1" w:styleId="480">
    <w:name w:val="样式 标题 5 + 黑色 段前: 1.2 磅"/>
    <w:basedOn w:val="1"/>
    <w:uiPriority w:val="0"/>
    <w:pPr>
      <w:tabs>
        <w:tab w:val="left" w:pos="1200"/>
      </w:tabs>
      <w:spacing w:line="300" w:lineRule="auto"/>
    </w:pPr>
    <w:rPr>
      <w:rFonts w:ascii="Arial" w:hAnsi="Arial"/>
    </w:rPr>
  </w:style>
  <w:style w:type="paragraph" w:customStyle="1" w:styleId="481">
    <w:name w:val="一级无标题条"/>
    <w:basedOn w:val="1"/>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uiPriority w:val="0"/>
    <w:pPr>
      <w:spacing w:beforeLines="10"/>
    </w:pPr>
    <w:rPr>
      <w:kern w:val="0"/>
      <w:sz w:val="18"/>
    </w:rPr>
  </w:style>
  <w:style w:type="paragraph" w:customStyle="1" w:styleId="484">
    <w:name w:val=".."/>
    <w:basedOn w:val="303"/>
    <w:next w:val="303"/>
    <w:uiPriority w:val="0"/>
    <w:rPr>
      <w:color w:val="auto"/>
    </w:rPr>
  </w:style>
  <w:style w:type="paragraph" w:customStyle="1" w:styleId="485">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87">
    <w:name w:val="基准索引样式"/>
    <w:basedOn w:val="1"/>
    <w:uiPriority w:val="0"/>
    <w:pPr>
      <w:widowControl/>
      <w:spacing w:line="220" w:lineRule="atLeast"/>
      <w:ind w:left="360"/>
      <w:jc w:val="left"/>
    </w:pPr>
    <w:rPr>
      <w:rFonts w:ascii="Arial" w:hAnsi="Arial"/>
      <w:kern w:val="0"/>
    </w:rPr>
  </w:style>
  <w:style w:type="paragraph" w:customStyle="1" w:styleId="488">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89">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49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uiPriority w:val="0"/>
    <w:pPr>
      <w:keepLines w:val="0"/>
      <w:tabs>
        <w:tab w:val="left" w:pos="210"/>
      </w:tabs>
      <w:spacing w:beforeLines="0" w:line="276" w:lineRule="auto"/>
    </w:pPr>
  </w:style>
  <w:style w:type="paragraph" w:customStyle="1" w:styleId="492">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uiPriority w:val="0"/>
    <w:rPr>
      <w:rFonts w:ascii="Times New Roman"/>
      <w:color w:val="auto"/>
    </w:rPr>
  </w:style>
  <w:style w:type="paragraph" w:customStyle="1" w:styleId="495">
    <w:name w:val="无标题条"/>
    <w:next w:val="202"/>
    <w:uiPriority w:val="0"/>
    <w:pPr>
      <w:jc w:val="both"/>
    </w:pPr>
    <w:rPr>
      <w:rFonts w:ascii="Times New Roman" w:hAnsi="Times New Roman" w:eastAsia="宋体" w:cs="Times New Roman"/>
      <w:sz w:val="21"/>
      <w:lang w:val="en-US" w:eastAsia="zh-CN" w:bidi="ar-SA"/>
    </w:rPr>
  </w:style>
  <w:style w:type="paragraph" w:customStyle="1" w:styleId="496">
    <w:name w:val="_列项符号3"/>
    <w:basedOn w:val="24"/>
    <w:uiPriority w:val="0"/>
    <w:pPr>
      <w:tabs>
        <w:tab w:val="left" w:pos="1680"/>
      </w:tabs>
      <w:snapToGrid w:val="0"/>
      <w:spacing w:line="276" w:lineRule="auto"/>
      <w:ind w:left="1680" w:leftChars="600" w:hanging="420" w:hangingChars="800"/>
    </w:pPr>
  </w:style>
  <w:style w:type="paragraph" w:customStyle="1" w:styleId="497">
    <w:name w:val="实施日期"/>
    <w:basedOn w:val="324"/>
    <w:uiPriority w:val="0"/>
    <w:pPr>
      <w:jc w:val="right"/>
    </w:pPr>
  </w:style>
  <w:style w:type="paragraph" w:customStyle="1" w:styleId="498">
    <w:name w:val="样式 标题 5 + 段前: 0.1 行2"/>
    <w:basedOn w:val="259"/>
    <w:next w:val="259"/>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501">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05">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506">
    <w:name w:val="Char Char Char Char Char Char Char"/>
    <w:basedOn w:val="1"/>
    <w:uiPriority w:val="0"/>
    <w:pPr>
      <w:spacing w:line="360" w:lineRule="auto"/>
      <w:ind w:firstLine="200" w:firstLineChars="200"/>
    </w:pPr>
  </w:style>
  <w:style w:type="paragraph" w:customStyle="1" w:styleId="5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uiPriority w:val="0"/>
    <w:pPr>
      <w:spacing w:beforeLines="0" w:line="240" w:lineRule="auto"/>
      <w:jc w:val="center"/>
    </w:pPr>
  </w:style>
  <w:style w:type="paragraph" w:customStyle="1" w:styleId="509">
    <w:name w:val="封面标准代替信息"/>
    <w:basedOn w:val="268"/>
    <w:uiPriority w:val="0"/>
    <w:pPr>
      <w:spacing w:before="57"/>
    </w:pPr>
    <w:rPr>
      <w:rFonts w:ascii="宋体"/>
      <w:sz w:val="21"/>
    </w:rPr>
  </w:style>
  <w:style w:type="paragraph" w:customStyle="1" w:styleId="510">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uiPriority w:val="0"/>
    <w:pPr>
      <w:spacing w:beforeLines="0" w:afterLines="10" w:line="240" w:lineRule="auto"/>
      <w:ind w:left="2" w:leftChars="-11" w:hanging="13" w:hangingChars="13"/>
    </w:pPr>
  </w:style>
  <w:style w:type="paragraph" w:customStyle="1" w:styleId="512">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513">
    <w:name w:val="样式1 样式 编号 a + Times New Roman 段前: 0 行 行距: 多倍行距 1.15 字行 + 左侧....."/>
    <w:basedOn w:val="320"/>
    <w:uiPriority w:val="0"/>
    <w:pPr>
      <w:ind w:left="400" w:leftChars="200"/>
    </w:pPr>
  </w:style>
  <w:style w:type="paragraph" w:customStyle="1" w:styleId="514">
    <w:name w:val="正文表标题续表"/>
    <w:basedOn w:val="279"/>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Char1"/>
    <w:basedOn w:val="1"/>
    <w:uiPriority w:val="0"/>
    <w:rPr>
      <w:rFonts w:ascii="Tahoma" w:hAnsi="Tahoma"/>
      <w:sz w:val="24"/>
    </w:rPr>
  </w:style>
  <w:style w:type="paragraph" w:customStyle="1" w:styleId="518">
    <w:name w:val="样式 样式 样式 悬挂缩进: 9 字符 段前: 0.1 行 + 左侧:  3.93 字符 悬挂缩进: 8 字符 段前: 0.1 ..."/>
    <w:basedOn w:val="169"/>
    <w:next w:val="1"/>
    <w:uiPriority w:val="0"/>
    <w:pPr>
      <w:tabs>
        <w:tab w:val="left" w:pos="0"/>
      </w:tabs>
      <w:spacing w:before="24" w:afterLines="10"/>
      <w:ind w:left="800" w:hanging="400" w:firstLineChars="0"/>
    </w:pPr>
  </w:style>
  <w:style w:type="paragraph" w:customStyle="1" w:styleId="519">
    <w:name w:val="样式7"/>
    <w:basedOn w:val="3"/>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uiPriority w:val="0"/>
    <w:pPr>
      <w:numPr>
        <w:ilvl w:val="6"/>
        <w:numId w:val="1"/>
      </w:numPr>
    </w:pPr>
    <w:rPr>
      <w:rFonts w:ascii="黑体" w:eastAsia="黑体"/>
      <w:b/>
    </w:rPr>
  </w:style>
  <w:style w:type="paragraph" w:customStyle="1" w:styleId="52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522">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3">
    <w:name w:val="样式 题注Figure Caption + 段前: 0.5 行 段后: 0.5 行"/>
    <w:basedOn w:val="22"/>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3172</Words>
  <Characters>18082</Characters>
  <Lines>150</Lines>
  <Paragraphs>42</Paragraphs>
  <TotalTime>0</TotalTime>
  <ScaleCrop>false</ScaleCrop>
  <LinksUpToDate>false</LinksUpToDate>
  <CharactersWithSpaces>21212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2021-08-19T01:08:00Z</cp:lastPrinted>
  <dcterms:modified xsi:type="dcterms:W3CDTF">2021-08-31T08:41:39Z</dcterms:modified>
  <dc:title>宜兴水务集团有限公司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4B37BC7BD7A445268C71FF3227B62642</vt:lpwstr>
  </property>
</Properties>
</file>